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21.07.2011 N 256-ФЗ</w:t>
              <w:br/>
              <w:t xml:space="preserve">(ред. от 25.12.2023)</w:t>
              <w:br/>
              <w:t xml:space="preserve">"О безопасности объектов топливно-энергетического комплекса"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21 июля 2011 года</w:t>
            </w:r>
          </w:p>
        </w:tc>
        <w:tc>
          <w:tcPr>
            <w:tcW w:w="5103" w:type="dxa"/>
            <w:tcBorders>
              <w:top w:val="nil"/>
              <w:left w:val="nil"/>
              <w:bottom w:val="nil"/>
              <w:right w:val="nil"/>
            </w:tcBorders>
          </w:tcPr>
          <w:p>
            <w:pPr>
              <w:pStyle w:val="0"/>
              <w:outlineLvl w:val="0"/>
              <w:jc w:val="right"/>
            </w:pPr>
            <w:r>
              <w:rPr>
                <w:sz w:val="20"/>
              </w:rPr>
              <w:t xml:space="preserve">N 256-ФЗ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БЕЗОПАСНОСТИ ОБЪЕКТОВ ТОПЛИВНО-ЭНЕРГЕТИЧЕСКОГО КОМПЛЕКСА</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3-ФЗ &quot;О внесении изменений в статьи 12 и 17 Федерального закона &quot;О безопасности объектов топливно-энергетического комплекса&quot; {КонсультантПлюс}">
              <w:r>
                <w:rPr>
                  <w:sz w:val="20"/>
                  <w:color w:val="0000ff"/>
                </w:rPr>
                <w:t xml:space="preserve">N 163-ФЗ</w:t>
              </w:r>
            </w:hyperlink>
            <w:r>
              <w:rPr>
                <w:sz w:val="20"/>
                <w:color w:val="392c69"/>
              </w:rPr>
              <w:t xml:space="preserve">,</w:t>
            </w:r>
          </w:p>
          <w:p>
            <w:pPr>
              <w:pStyle w:val="0"/>
              <w:jc w:val="center"/>
            </w:pPr>
            <w:r>
              <w:rPr>
                <w:sz w:val="20"/>
                <w:color w:val="392c69"/>
              </w:rPr>
              <w:t xml:space="preserve">от 20.04.2014 </w:t>
            </w:r>
            <w:hyperlink w:history="0" r:id="rId8" w:tooltip="Федеральный закон от 20.04.2014 N 75-ФЗ &quot;О внесении изменений в отдельные законодательные акты Российской Федерации по вопросу создания ведомственной охраны для обеспечения безопасности объектов топливно-энергетического комплекса&quot; {КонсультантПлюс}">
              <w:r>
                <w:rPr>
                  <w:sz w:val="20"/>
                  <w:color w:val="0000ff"/>
                </w:rPr>
                <w:t xml:space="preserve">N 75-ФЗ</w:t>
              </w:r>
            </w:hyperlink>
            <w:r>
              <w:rPr>
                <w:sz w:val="20"/>
                <w:color w:val="392c69"/>
              </w:rPr>
              <w:t xml:space="preserve">, от 14.10.2014 </w:t>
            </w:r>
            <w:hyperlink w:history="0" r:id="rId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09.03.2016 </w:t>
            </w:r>
            <w:hyperlink w:history="0" r:id="rId10"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06.07.2016 </w:t>
            </w:r>
            <w:hyperlink w:history="0" r:id="rId1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 от 24.04.2020 </w:t>
            </w:r>
            <w:hyperlink w:history="0" r:id="rId13" w:tooltip="Федеральный закон от 24.04.2020 N 139-ФЗ &quot;О внесении изменений в Федеральный закон &quot;О безопасности объектов топливно-энергетического комплекса&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11.06.2021 </w:t>
            </w:r>
            <w:hyperlink w:history="0" r:id="rId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28.06.2022 </w:t>
            </w:r>
            <w:hyperlink w:history="0" r:id="rId1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25.12.2023 </w:t>
            </w:r>
            <w:hyperlink w:history="0" r:id="rId16" w:tooltip="Федеральный закон от 25.12.2023 N 666-ФЗ &quot;О внесении изменений в статью 12 Закона Российской Федерации &quot;О частной детективной и охранной деятельности в Российской Федерации&quot; и Федеральный закон &quot;О безопасности объектов топливно-энергетического комплекса&quot; {КонсультантПлюс}">
              <w:r>
                <w:rPr>
                  <w:sz w:val="20"/>
                  <w:color w:val="0000ff"/>
                </w:rPr>
                <w:t xml:space="preserve">N 666-ФЗ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устанавливает организационные и правовые основы в сфере обеспечения безопасности объектов топливно-энергетического комплекса в Российской Федерации,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субъектов топливно-энергетического комплекса.</w:t>
      </w:r>
    </w:p>
    <w:p>
      <w:pPr>
        <w:pStyle w:val="0"/>
        <w:jc w:val="both"/>
      </w:pPr>
      <w:r>
        <w:rPr>
          <w:sz w:val="20"/>
        </w:rPr>
        <w:t xml:space="preserve">(в ред. Федерального </w:t>
      </w:r>
      <w:hyperlink w:history="0" r:id="rId1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топливно-энергетического комплекса,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pPr>
        <w:pStyle w:val="0"/>
        <w:spacing w:before="200" w:line-rule="auto"/>
        <w:ind w:firstLine="540"/>
        <w:jc w:val="both"/>
      </w:pPr>
      <w:r>
        <w:rPr>
          <w:sz w:val="20"/>
        </w:rPr>
        <w:t xml:space="preserve">2) антитеррористическая защищенность объекта топливно-энергетического комплекса - состояние защищенности здания, строения, сооружения или иного объекта топливно-энергетического комплекса, препятствующее совершению на нем террористического акта;</w:t>
      </w:r>
    </w:p>
    <w:p>
      <w:pPr>
        <w:pStyle w:val="0"/>
        <w:spacing w:before="200" w:line-rule="auto"/>
        <w:ind w:firstLine="540"/>
        <w:jc w:val="both"/>
      </w:pPr>
      <w:r>
        <w:rPr>
          <w:sz w:val="20"/>
        </w:rPr>
        <w:t xml:space="preserve">3) безопасность объектов топливно-энергетического комплекса - состояние защищенности объектов топливно-энергетического комплекса от актов незаконного вмешательства;</w:t>
      </w:r>
    </w:p>
    <w:p>
      <w:pPr>
        <w:pStyle w:val="0"/>
        <w:spacing w:before="200" w:line-rule="auto"/>
        <w:ind w:firstLine="540"/>
        <w:jc w:val="both"/>
      </w:pPr>
      <w:r>
        <w:rPr>
          <w:sz w:val="20"/>
        </w:rPr>
        <w:t xml:space="preserve">3.1) зона безопасности объекта топливно-энергетического комплекса - определяемая в соответствии с </w:t>
      </w:r>
      <w:hyperlink w:history="0" w:anchor="P150" w:tooltip="1) отдельные объекты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
        <w:r>
          <w:rPr>
            <w:sz w:val="20"/>
            <w:color w:val="0000ff"/>
          </w:rPr>
          <w:t xml:space="preserve">пунктом 1 части 6 статьи 9</w:t>
        </w:r>
      </w:hyperlink>
      <w:r>
        <w:rPr>
          <w:sz w:val="20"/>
        </w:rPr>
        <w:t xml:space="preserve"> настоящего Федерального закона часть территории, водного, воздушного пространства вокруг отдельного объекта топливно-энергетического комплекса, в границах которых реализуются меры, направленные на обеспечение особого режима защиты такого объекта от актов незаконного вмешательства;</w:t>
      </w:r>
    </w:p>
    <w:p>
      <w:pPr>
        <w:pStyle w:val="0"/>
        <w:jc w:val="both"/>
      </w:pPr>
      <w:r>
        <w:rPr>
          <w:sz w:val="20"/>
        </w:rPr>
        <w:t xml:space="preserve">(п. 3.1 в ред. Федерального </w:t>
      </w:r>
      <w:hyperlink w:history="0" r:id="rId18" w:tooltip="Федеральный закон от 25.12.2023 N 666-ФЗ &quot;О внесении изменений в статью 12 Закона Российской Федерации &quot;О частной детективной и охранной деятельности в Российской Федерации&quot; и Федеральный закон &quot;О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25.12.2023 N 666-ФЗ)</w:t>
      </w:r>
    </w:p>
    <w:p>
      <w:pPr>
        <w:pStyle w:val="0"/>
        <w:spacing w:before="200" w:line-rule="auto"/>
        <w:ind w:firstLine="540"/>
        <w:jc w:val="both"/>
      </w:pPr>
      <w:r>
        <w:rPr>
          <w:sz w:val="20"/>
        </w:rPr>
        <w:t xml:space="preserve">4) инженерно-технические средства охраны - технические средства охраны и инженерно-технические средства защиты объекта топливно-энергетического комплекса, предназначенные для предотвращения несанкционированного проникновения на объект топливно-энергетического комплекса или выявления несанкционированных действий в отношении объекта топливно-энергетического комплекса;</w:t>
      </w:r>
    </w:p>
    <w:p>
      <w:pPr>
        <w:pStyle w:val="0"/>
        <w:spacing w:before="200" w:line-rule="auto"/>
        <w:ind w:firstLine="540"/>
        <w:jc w:val="both"/>
      </w:pPr>
      <w:r>
        <w:rPr>
          <w:sz w:val="20"/>
        </w:rPr>
        <w:t xml:space="preserve">5) утратил силу. - Федеральный </w:t>
      </w:r>
      <w:hyperlink w:history="0" r:id="rId1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230-ФЗ;</w:t>
      </w:r>
    </w:p>
    <w:p>
      <w:pPr>
        <w:pStyle w:val="0"/>
        <w:spacing w:before="200" w:line-rule="auto"/>
        <w:ind w:firstLine="540"/>
        <w:jc w:val="both"/>
      </w:pPr>
      <w:r>
        <w:rPr>
          <w:sz w:val="20"/>
        </w:rPr>
        <w:t xml:space="preserve">6) критические элементы объекта топливно-энергетического комплекса - потенциально опасные элементы (участки) объекта топливно-энергетического комплекса, совершение акта незаконного вмешательства в отношении которых приведет к прекращению нормального функционирования объекта топливно-энергетического комплекса, его повреждению или к аварии на объекте топливно-энергетического комплекса;</w:t>
      </w:r>
    </w:p>
    <w:p>
      <w:pPr>
        <w:pStyle w:val="0"/>
        <w:spacing w:before="200" w:line-rule="auto"/>
        <w:ind w:firstLine="540"/>
        <w:jc w:val="both"/>
      </w:pPr>
      <w:r>
        <w:rPr>
          <w:sz w:val="20"/>
        </w:rPr>
        <w:t xml:space="preserve">7) линейные объекты топливно-энергетического комплекса - система линейно-протяженных объектов топливно-энергетического комплекса (электрические сети, магистральные газопроводы, нефтепроводы и нефтепродуктопроводы), предназначенных для обеспечения передачи электрической энергии, транспортировки газа, нефти и нефтепродуктов;</w:t>
      </w:r>
    </w:p>
    <w:p>
      <w:pPr>
        <w:pStyle w:val="0"/>
        <w:spacing w:before="200" w:line-rule="auto"/>
        <w:ind w:firstLine="540"/>
        <w:jc w:val="both"/>
      </w:pPr>
      <w:r>
        <w:rPr>
          <w:sz w:val="20"/>
        </w:rPr>
        <w:t xml:space="preserve">8) обеспечение антитеррористической защищенности объектов топливно-энергетического комплекса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топливно-энергетического комплекса;</w:t>
      </w:r>
    </w:p>
    <w:p>
      <w:pPr>
        <w:pStyle w:val="0"/>
        <w:spacing w:before="200" w:line-rule="auto"/>
        <w:ind w:firstLine="540"/>
        <w:jc w:val="both"/>
      </w:pPr>
      <w:r>
        <w:rPr>
          <w:sz w:val="20"/>
        </w:rPr>
        <w:t xml:space="preserve">9) объекты топливно-энергетического комплекса (далее также - объекты) - объекты электроэнергетики, нефтедобывающей, нефтеперерабатывающей, нефтехимической, газовой, угольной, сланцевой и торфяной промышленности, а также объекты нефтепродуктообеспечения, теплоснабжения и газоснабжения;</w:t>
      </w:r>
    </w:p>
    <w:p>
      <w:pPr>
        <w:pStyle w:val="0"/>
        <w:spacing w:before="200" w:line-rule="auto"/>
        <w:ind w:firstLine="540"/>
        <w:jc w:val="both"/>
      </w:pPr>
      <w:r>
        <w:rPr>
          <w:sz w:val="20"/>
        </w:rPr>
        <w:t xml:space="preserve">10) охраняемые объекты топливно-энергетического комплекса - здания, строения, сооружения, иные объекты топливно-энергетического комплекса, а также прилегающие к ним территории и акватории в пределах границ, установленных в соответствии с законодательством Российской Федерации;</w:t>
      </w:r>
    </w:p>
    <w:p>
      <w:pPr>
        <w:pStyle w:val="0"/>
        <w:spacing w:before="200" w:line-rule="auto"/>
        <w:ind w:firstLine="540"/>
        <w:jc w:val="both"/>
      </w:pPr>
      <w:r>
        <w:rPr>
          <w:sz w:val="20"/>
        </w:rPr>
        <w:t xml:space="preserve">11) паспорт безопасности объекта топливно-энергетического комплекса - документ, содержащий информацию об обеспечении антитеррористической защищенности объекта топливно-энергетического комплекса и план мероприятий по обеспечению антитеррористической защищенности объекта;</w:t>
      </w:r>
    </w:p>
    <w:p>
      <w:pPr>
        <w:pStyle w:val="0"/>
        <w:spacing w:before="200" w:line-rule="auto"/>
        <w:ind w:firstLine="540"/>
        <w:jc w:val="both"/>
      </w:pPr>
      <w:r>
        <w:rPr>
          <w:sz w:val="20"/>
        </w:rPr>
        <w:t xml:space="preserve">12) потенциально опасные объекты (участки) топливно-энергетического комплекса - объекты топливно-энергетического комплекса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транспортируются или уничтожаются радиоактивные, взрыво-,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pPr>
        <w:pStyle w:val="0"/>
        <w:spacing w:before="200" w:line-rule="auto"/>
        <w:ind w:firstLine="540"/>
        <w:jc w:val="both"/>
      </w:pPr>
      <w:r>
        <w:rPr>
          <w:sz w:val="20"/>
        </w:rPr>
        <w:t xml:space="preserve">13) субъекты топливно-энергетического комплекса - физические и юридические лица, владеющие на праве собственности или ином законном основании объектами топливно-энергетического комплекса, а также хозяйственные общества, по отношению к которым указанные юридические лица являются дочерними обществами (далее - субъекты топливно-энергетического комплекса, являющиеся головными организациями);</w:t>
      </w:r>
    </w:p>
    <w:p>
      <w:pPr>
        <w:pStyle w:val="0"/>
        <w:jc w:val="both"/>
      </w:pPr>
      <w:r>
        <w:rPr>
          <w:sz w:val="20"/>
        </w:rPr>
        <w:t xml:space="preserve">(в ред. Федерального </w:t>
      </w:r>
      <w:hyperlink w:history="0" r:id="rId20"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14) требования обеспечения безопасности и антитеррористической защищенности объектов топливно-энергетического комплекса - правила, которые обязательны для выполнения и соблюдение которых обеспечивает безопасность и антитеррористическую защищенность объектов топливно-энергетического комплекса.</w:t>
      </w:r>
    </w:p>
    <w:p>
      <w:pPr>
        <w:pStyle w:val="0"/>
        <w:jc w:val="both"/>
      </w:pPr>
      <w:r>
        <w:rPr>
          <w:sz w:val="20"/>
        </w:rPr>
        <w:t xml:space="preserve">(п. 14 в ред. Федерального </w:t>
      </w:r>
      <w:hyperlink w:history="0" r:id="rId2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3. Цели и задачи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Целями обеспечения безопасности объектов топливно-энергетического комплекса являются их устойчивое и безопасное функционирование, защита интересов личности, общества и государства в сфере топливно-энергетического комплекса от актов незаконного вмешательства.</w:t>
      </w:r>
    </w:p>
    <w:p>
      <w:pPr>
        <w:pStyle w:val="0"/>
        <w:spacing w:before="200" w:line-rule="auto"/>
        <w:ind w:firstLine="540"/>
        <w:jc w:val="both"/>
      </w:pPr>
      <w:r>
        <w:rPr>
          <w:sz w:val="20"/>
        </w:rPr>
        <w:t xml:space="preserve">2. Основными задачами обеспечения безопасности объектов топливно-энергетического комплекса являются:</w:t>
      </w:r>
    </w:p>
    <w:p>
      <w:pPr>
        <w:pStyle w:val="0"/>
        <w:spacing w:before="200" w:line-rule="auto"/>
        <w:ind w:firstLine="540"/>
        <w:jc w:val="both"/>
      </w:pPr>
      <w:r>
        <w:rPr>
          <w:sz w:val="20"/>
        </w:rPr>
        <w:t xml:space="preserve">1) нормативное правовое регулирование в области обеспечения антитеррористической защищенности объектов топливно-энергетического комплекса;</w:t>
      </w:r>
    </w:p>
    <w:p>
      <w:pPr>
        <w:pStyle w:val="0"/>
        <w:spacing w:before="200" w:line-rule="auto"/>
        <w:ind w:firstLine="540"/>
        <w:jc w:val="both"/>
      </w:pPr>
      <w:r>
        <w:rPr>
          <w:sz w:val="20"/>
        </w:rPr>
        <w:t xml:space="preserve">2) определение угроз совершения актов незаконного вмешательства и предупреждение таких угроз;</w:t>
      </w:r>
    </w:p>
    <w:p>
      <w:pPr>
        <w:pStyle w:val="0"/>
        <w:spacing w:before="200" w:line-rule="auto"/>
        <w:ind w:firstLine="540"/>
        <w:jc w:val="both"/>
      </w:pPr>
      <w:r>
        <w:rPr>
          <w:sz w:val="20"/>
        </w:rPr>
        <w:t xml:space="preserve">3) категорирование объектов топливно-энергетического комплекса;</w:t>
      </w:r>
    </w:p>
    <w:p>
      <w:pPr>
        <w:pStyle w:val="0"/>
        <w:spacing w:before="200" w:line-rule="auto"/>
        <w:ind w:firstLine="540"/>
        <w:jc w:val="both"/>
      </w:pPr>
      <w:r>
        <w:rPr>
          <w:sz w:val="20"/>
        </w:rPr>
        <w:t xml:space="preserve">4) разработка и реализация требований обеспечения безопасности и антитеррористической защищенности объектов топливно-энергетического комплекса;</w:t>
      </w:r>
    </w:p>
    <w:p>
      <w:pPr>
        <w:pStyle w:val="0"/>
        <w:jc w:val="both"/>
      </w:pPr>
      <w:r>
        <w:rPr>
          <w:sz w:val="20"/>
        </w:rPr>
        <w:t xml:space="preserve">(в ред. Федерального </w:t>
      </w:r>
      <w:hyperlink w:history="0" r:id="rId2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разработка и реализация мер по созданию системы физической защиты объектов топливно-энергетического комплекса;</w:t>
      </w:r>
    </w:p>
    <w:p>
      <w:pPr>
        <w:pStyle w:val="0"/>
        <w:spacing w:before="200" w:line-rule="auto"/>
        <w:ind w:firstLine="540"/>
        <w:jc w:val="both"/>
      </w:pPr>
      <w:r>
        <w:rPr>
          <w:sz w:val="20"/>
        </w:rPr>
        <w:t xml:space="preserve">6) подготовка специалистов в сфере обеспечения безопасности объектов топливно-энергетического комплекса;</w:t>
      </w:r>
    </w:p>
    <w:p>
      <w:pPr>
        <w:pStyle w:val="0"/>
        <w:spacing w:before="200" w:line-rule="auto"/>
        <w:ind w:firstLine="540"/>
        <w:jc w:val="both"/>
      </w:pPr>
      <w:r>
        <w:rPr>
          <w:sz w:val="20"/>
        </w:rPr>
        <w:t xml:space="preserve">7)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w:t>
      </w:r>
    </w:p>
    <w:p>
      <w:pPr>
        <w:pStyle w:val="0"/>
        <w:jc w:val="both"/>
      </w:pPr>
      <w:r>
        <w:rPr>
          <w:sz w:val="20"/>
        </w:rPr>
        <w:t xml:space="preserve">(в ред. Федеральных законов от 14.10.2014 </w:t>
      </w:r>
      <w:hyperlink w:history="0" r:id="rId2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11.06.2021 </w:t>
      </w:r>
      <w:hyperlink w:history="0" r:id="rId2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8) информационное, материально-техническое и научно-техническое обеспечение безопасности объектов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4. Принципы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Основными принципами обеспечения безопасности объектов топливно-энергетического комплекса являются:</w:t>
      </w:r>
    </w:p>
    <w:p>
      <w:pPr>
        <w:pStyle w:val="0"/>
        <w:spacing w:before="200" w:line-rule="auto"/>
        <w:ind w:firstLine="540"/>
        <w:jc w:val="both"/>
      </w:pPr>
      <w:r>
        <w:rPr>
          <w:sz w:val="20"/>
        </w:rPr>
        <w:t xml:space="preserve">1) законность;</w:t>
      </w:r>
    </w:p>
    <w:p>
      <w:pPr>
        <w:pStyle w:val="0"/>
        <w:spacing w:before="200" w:line-rule="auto"/>
        <w:ind w:firstLine="540"/>
        <w:jc w:val="both"/>
      </w:pPr>
      <w:r>
        <w:rPr>
          <w:sz w:val="20"/>
        </w:rPr>
        <w:t xml:space="preserve">2) соблюдение баланса интересов личности, общества и государства;</w:t>
      </w:r>
    </w:p>
    <w:p>
      <w:pPr>
        <w:pStyle w:val="0"/>
        <w:spacing w:before="200" w:line-rule="auto"/>
        <w:ind w:firstLine="540"/>
        <w:jc w:val="both"/>
      </w:pPr>
      <w:r>
        <w:rPr>
          <w:sz w:val="20"/>
        </w:rPr>
        <w:t xml:space="preserve">3) взаимная ответственность личности, общества и государства в сфере обеспечения безопасности объектов топливно-энергетического комплекса;</w:t>
      </w:r>
    </w:p>
    <w:p>
      <w:pPr>
        <w:pStyle w:val="0"/>
        <w:spacing w:before="200" w:line-rule="auto"/>
        <w:ind w:firstLine="540"/>
        <w:jc w:val="both"/>
      </w:pPr>
      <w:r>
        <w:rPr>
          <w:sz w:val="20"/>
        </w:rPr>
        <w:t xml:space="preserve">4) непрерывность;</w:t>
      </w:r>
    </w:p>
    <w:p>
      <w:pPr>
        <w:pStyle w:val="0"/>
        <w:spacing w:before="200" w:line-rule="auto"/>
        <w:ind w:firstLine="540"/>
        <w:jc w:val="both"/>
      </w:pPr>
      <w:r>
        <w:rPr>
          <w:sz w:val="20"/>
        </w:rPr>
        <w:t xml:space="preserve">5) интеграция в международные системы безопасности;</w:t>
      </w:r>
    </w:p>
    <w:p>
      <w:pPr>
        <w:pStyle w:val="0"/>
        <w:spacing w:before="200" w:line-rule="auto"/>
        <w:ind w:firstLine="540"/>
        <w:jc w:val="both"/>
      </w:pPr>
      <w:r>
        <w:rPr>
          <w:sz w:val="20"/>
        </w:rPr>
        <w:t xml:space="preserve">6) взаимодействие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7) обеспечение антитеррористической защищенности объектов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5. Категорирование объектов топливно-энергетического комплекса</w:t>
      </w:r>
    </w:p>
    <w:p>
      <w:pPr>
        <w:pStyle w:val="0"/>
        <w:ind w:firstLine="540"/>
        <w:jc w:val="both"/>
      </w:pPr>
      <w:r>
        <w:rPr>
          <w:sz w:val="20"/>
        </w:rPr>
        <w:t xml:space="preserve">(в ред. Федерального </w:t>
      </w:r>
      <w:hyperlink w:history="0" r:id="rId2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Для установления дифференцированных требований обеспечения безопасности и антитеррористической защищенности объектов топливно-энергетического комплекса с учетом степени потенциальной опасности совершения акта незаконного вмешательства и его возможных социально-экономических последствий проводится категорирование объектов. При проведении категорирования объектов учитываются:</w:t>
      </w:r>
    </w:p>
    <w:p>
      <w:pPr>
        <w:pStyle w:val="0"/>
        <w:spacing w:before="200" w:line-rule="auto"/>
        <w:ind w:firstLine="540"/>
        <w:jc w:val="both"/>
      </w:pPr>
      <w:r>
        <w:rPr>
          <w:sz w:val="20"/>
        </w:rPr>
        <w:t xml:space="preserve">1) информация о том, является ли объект топливно-энергетического комплекса критически важным и (или) потенциально опасным объектом;</w:t>
      </w:r>
    </w:p>
    <w:p>
      <w:pPr>
        <w:pStyle w:val="0"/>
        <w:spacing w:before="200" w:line-rule="auto"/>
        <w:ind w:firstLine="540"/>
        <w:jc w:val="both"/>
      </w:pPr>
      <w:r>
        <w:rPr>
          <w:sz w:val="20"/>
        </w:rPr>
        <w:t xml:space="preserve">2) масштабы возможных социально-экономических последствий в результате совершения на объекте топливно-энергетического комплекса акта незаконного вмешательства;</w:t>
      </w:r>
    </w:p>
    <w:p>
      <w:pPr>
        <w:pStyle w:val="0"/>
        <w:spacing w:before="200" w:line-rule="auto"/>
        <w:ind w:firstLine="540"/>
        <w:jc w:val="both"/>
      </w:pPr>
      <w:r>
        <w:rPr>
          <w:sz w:val="20"/>
        </w:rPr>
        <w:t xml:space="preserve">3) наличие критических элементов объекта топливно-энергетического комплекса;</w:t>
      </w:r>
    </w:p>
    <w:p>
      <w:pPr>
        <w:pStyle w:val="0"/>
        <w:spacing w:before="200" w:line-rule="auto"/>
        <w:ind w:firstLine="540"/>
        <w:jc w:val="both"/>
      </w:pPr>
      <w:r>
        <w:rPr>
          <w:sz w:val="20"/>
        </w:rPr>
        <w:t xml:space="preserve">4) наличие потенциально опасных участков объекта топливно-энергетического комплекса.</w:t>
      </w:r>
    </w:p>
    <w:p>
      <w:pPr>
        <w:pStyle w:val="0"/>
        <w:spacing w:before="200" w:line-rule="auto"/>
        <w:ind w:firstLine="540"/>
        <w:jc w:val="both"/>
      </w:pPr>
      <w:r>
        <w:rPr>
          <w:sz w:val="20"/>
        </w:rPr>
        <w:t xml:space="preserve">2. Категорирование объектов топливно-энергетического комплекса проводится комиссией по категорированию объектов топливно-энергетического комплекса (далее - комиссия по категорированию) в порядке и сроки, которые установлены Правительством Российской Федерации. По результатам данного категорирования объекту топливно-энергетического комплекса присваивается высокая, средняя или низкая категория опасности либо категория опасности не присваивается.</w:t>
      </w:r>
    </w:p>
    <w:p>
      <w:pPr>
        <w:pStyle w:val="0"/>
        <w:spacing w:before="200" w:line-rule="auto"/>
        <w:ind w:firstLine="540"/>
        <w:jc w:val="both"/>
      </w:pPr>
      <w:r>
        <w:rPr>
          <w:sz w:val="20"/>
        </w:rPr>
        <w:t xml:space="preserve">3. Правительство Российской Федерации вправе установить перечень видов объектов топливно-энергетического комплекса, не подлежащих категорированию.</w:t>
      </w:r>
    </w:p>
    <w:p>
      <w:pPr>
        <w:pStyle w:val="0"/>
        <w:spacing w:before="200" w:line-rule="auto"/>
        <w:ind w:firstLine="540"/>
        <w:jc w:val="both"/>
      </w:pPr>
      <w:r>
        <w:rPr>
          <w:sz w:val="20"/>
        </w:rPr>
        <w:t xml:space="preserve">4. Порядок работы и состав комиссии по категорированию, исходные данные для проведения категорирования объекта, </w:t>
      </w:r>
      <w:r>
        <w:rPr>
          <w:sz w:val="20"/>
        </w:rPr>
        <w:t xml:space="preserve">порядок</w:t>
      </w:r>
      <w:r>
        <w:rPr>
          <w:sz w:val="20"/>
        </w:rPr>
        <w:t xml:space="preserve"> и сроки его проведения, а также критерии категорирования объектов топливно-энергетического комплекса устанавливаются Правительством Российской Федерации.</w:t>
      </w:r>
    </w:p>
    <w:p>
      <w:pPr>
        <w:pStyle w:val="0"/>
        <w:spacing w:before="200" w:line-rule="auto"/>
        <w:ind w:firstLine="540"/>
        <w:jc w:val="both"/>
      </w:pPr>
      <w:r>
        <w:rPr>
          <w:sz w:val="20"/>
        </w:rPr>
        <w:t xml:space="preserve">5. Орган, сформированный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w:history="0" r:id="rId27"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по представлению уполномоченного органа исполнительной власти субъекта Российской Федерации в порядке и сроки, которые установлены Правительством Российской Федерации, утверждает перечень объектов топливно-энергетического комплекса, подлежащих категорированию.</w:t>
      </w:r>
    </w:p>
    <w:p>
      <w:pPr>
        <w:pStyle w:val="0"/>
        <w:spacing w:before="200" w:line-rule="auto"/>
        <w:ind w:firstLine="540"/>
        <w:jc w:val="both"/>
      </w:pPr>
      <w:r>
        <w:rPr>
          <w:sz w:val="20"/>
        </w:rPr>
        <w:t xml:space="preserve">6. Информация об объектах топливно-энергетического комплекса, которым присвоена или не присвоена категория опасности, и об объектах топливно-энергетического комплекса, которые не подлежат категорированию, включается в реестр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или подведомственной ему организацией. </w:t>
      </w:r>
      <w:hyperlink w:history="0" r:id="rId28" w:tooltip="Постановление Правительства РФ от 22.12.2011 N 1107 (ред. от 26.02.2016) &quot;О порядке формирования и ведения реестра объектов топливно-энергетического комплекса&quot; (вместе с &quot;Правилами формирования и ведения реестра объектов топливно-энергетического комплекса&quot;) {КонсультантПлюс}">
        <w:r>
          <w:rPr>
            <w:sz w:val="20"/>
            <w:color w:val="0000ff"/>
          </w:rPr>
          <w:t xml:space="preserve">Порядок</w:t>
        </w:r>
      </w:hyperlink>
      <w:r>
        <w:rPr>
          <w:sz w:val="20"/>
        </w:rPr>
        <w:t xml:space="preserve"> формирования и ведения реестра объектов топливно-энергетического комплекса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 Обеспечение безопасности объектов топливно-энергетического комплекса</w:t>
      </w:r>
    </w:p>
    <w:p>
      <w:pPr>
        <w:pStyle w:val="0"/>
        <w:ind w:firstLine="540"/>
        <w:jc w:val="both"/>
      </w:pPr>
      <w:r>
        <w:rPr>
          <w:sz w:val="20"/>
        </w:rPr>
        <w:t xml:space="preserve">(в ред. Федерального </w:t>
      </w:r>
      <w:hyperlink w:history="0" r:id="rId2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Обеспечение безопасности объектов топливно-энергетического комплекса осуществляется субъектами топливно-энергетического комплекса, если иное не установлено законодательством Российской Федерации.</w:t>
      </w:r>
    </w:p>
    <w:p>
      <w:pPr>
        <w:pStyle w:val="0"/>
        <w:spacing w:before="200" w:line-rule="auto"/>
        <w:ind w:firstLine="540"/>
        <w:jc w:val="both"/>
      </w:pPr>
      <w:r>
        <w:rPr>
          <w:sz w:val="20"/>
        </w:rPr>
        <w:t xml:space="preserve">2. Обеспечение безопасности объектов транспортной инфраструктуры, расположенных в границах объектов топливно-энергетического комплекса и обеспечивающих их функционирование, осуществляется в соответствии с требованиями настоящего Федерального закона.</w:t>
      </w:r>
    </w:p>
    <w:p>
      <w:pPr>
        <w:pStyle w:val="0"/>
        <w:spacing w:before="200" w:line-rule="auto"/>
        <w:ind w:firstLine="540"/>
        <w:jc w:val="both"/>
      </w:pPr>
      <w:r>
        <w:rPr>
          <w:sz w:val="20"/>
        </w:rPr>
        <w:t xml:space="preserve">3. Обеспечение безопасности объектов транспортной инфраструктуры, расположенных в границах объектов топливно-энергетического комплекса, но не обеспечивающих их функционирование, осуществляется в соответствии с требованиями Федерального </w:t>
      </w:r>
      <w:hyperlink w:history="0" r:id="rId30" w:tooltip="Федеральный закон от 09.02.2007 N 16-ФЗ (ред. от 24.07.2023) &quot;О транспортной безопасности&quot; {КонсультантПлюс}">
        <w:r>
          <w:rPr>
            <w:sz w:val="20"/>
            <w:color w:val="0000ff"/>
          </w:rPr>
          <w:t xml:space="preserve">закона</w:t>
        </w:r>
      </w:hyperlink>
      <w:r>
        <w:rPr>
          <w:sz w:val="20"/>
        </w:rPr>
        <w:t xml:space="preserve"> от 9 февраля 2007 года N 16-ФЗ "О транспортной безопасности".</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особенности защиты объектов транспортной инфраструктуры, расположенных в границах объектов топливно-энергетического комплекса, от актов незаконного вмешательства.</w:t>
      </w:r>
    </w:p>
    <w:p>
      <w:pPr>
        <w:pStyle w:val="0"/>
        <w:spacing w:before="200" w:line-rule="auto"/>
        <w:ind w:firstLine="540"/>
        <w:jc w:val="both"/>
      </w:pPr>
      <w:r>
        <w:rPr>
          <w:sz w:val="20"/>
        </w:rPr>
        <w:t xml:space="preserve">5. Объекты топливно-энергетического комплекса, обеспечение безопасности которых осуществляется исключительно подразделениями и (или)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определяются в соответствии с законодательными и иными нормативными правовыми актами Российской Федерации.</w:t>
      </w:r>
    </w:p>
    <w:p>
      <w:pPr>
        <w:pStyle w:val="0"/>
        <w:spacing w:before="200" w:line-rule="auto"/>
        <w:ind w:firstLine="540"/>
        <w:jc w:val="both"/>
      </w:pPr>
      <w:r>
        <w:rPr>
          <w:sz w:val="20"/>
        </w:rPr>
        <w:t xml:space="preserve">6. В качестве субъекта топливно-энергетического комплекса, владеющего на праве собственности или ином законном основании объектом, которому присвоена высокая категория опасности, может выступать только юридическое лицо, зарегистрированное на территории Российской Федерации.</w:t>
      </w:r>
    </w:p>
    <w:p>
      <w:pPr>
        <w:pStyle w:val="0"/>
        <w:spacing w:before="200" w:line-rule="auto"/>
        <w:ind w:firstLine="540"/>
        <w:jc w:val="both"/>
      </w:pPr>
      <w:r>
        <w:rPr>
          <w:sz w:val="20"/>
        </w:rPr>
        <w:t xml:space="preserve">7. Федеральный государственный контроль (надзор) за обеспечением безопасности объектов топливно-энергетического комплекса, которым присвоена категория опасности, осуществляется в </w:t>
      </w:r>
      <w:hyperlink w:history="0" r:id="rId31" w:tooltip="Постановление Правительства РФ от 12.05.2023 N 740 &quot;Об утверждении Правил осуществления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и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уполномоченными в соответствии с законодательством Российской Федерации федеральными органами исполнительной власти.</w:t>
      </w:r>
    </w:p>
    <w:p>
      <w:pPr>
        <w:pStyle w:val="0"/>
        <w:ind w:firstLine="540"/>
        <w:jc w:val="both"/>
      </w:pPr>
      <w:r>
        <w:rPr>
          <w:sz w:val="20"/>
        </w:rPr>
      </w:r>
    </w:p>
    <w:p>
      <w:pPr>
        <w:pStyle w:val="2"/>
        <w:outlineLvl w:val="1"/>
        <w:ind w:firstLine="540"/>
        <w:jc w:val="both"/>
      </w:pPr>
      <w:r>
        <w:rPr>
          <w:sz w:val="20"/>
        </w:rPr>
        <w:t xml:space="preserve">Статья 6.1. Пресечение функционирования беспилотных аппаратов в целях обеспечения безопасности объектов топливно-энергетического комплекса</w:t>
      </w:r>
    </w:p>
    <w:p>
      <w:pPr>
        <w:pStyle w:val="0"/>
        <w:ind w:firstLine="540"/>
        <w:jc w:val="both"/>
      </w:pPr>
      <w:r>
        <w:rPr>
          <w:sz w:val="20"/>
        </w:rPr>
        <w:t xml:space="preserve">(введена Федеральным </w:t>
      </w:r>
      <w:hyperlink w:history="0" r:id="rId32" w:tooltip="Федеральный закон от 25.12.2023 N 666-ФЗ &quot;О внесении изменений в статью 12 Закона Российской Федерации &quot;О частной детективной и охранной деятельности в Российской Федерации&quot; и Федеральный закон &quot;О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25.12.2023 N 666-ФЗ)</w:t>
      </w:r>
    </w:p>
    <w:p>
      <w:pPr>
        <w:pStyle w:val="0"/>
        <w:ind w:firstLine="540"/>
        <w:jc w:val="both"/>
      </w:pPr>
      <w:r>
        <w:rPr>
          <w:sz w:val="20"/>
        </w:rPr>
      </w:r>
    </w:p>
    <w:p>
      <w:pPr>
        <w:pStyle w:val="0"/>
        <w:ind w:firstLine="540"/>
        <w:jc w:val="both"/>
      </w:pPr>
      <w:r>
        <w:rPr>
          <w:sz w:val="20"/>
        </w:rPr>
        <w:t xml:space="preserve">В целях обеспечения безопасности объектов топливно-энергетического комплекса, которым присвоена категория опасности, работников и (или) лиц, находящихся на этих объектах, подразделения и (или) организации, указанные в </w:t>
      </w:r>
      <w:hyperlink w:history="0" w:anchor="P141" w:tooltip="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
        <w:r>
          <w:rPr>
            <w:sz w:val="20"/>
            <w:color w:val="0000ff"/>
          </w:rPr>
          <w:t xml:space="preserve">части 4 статьи 9</w:t>
        </w:r>
      </w:hyperlink>
      <w:r>
        <w:rPr>
          <w:sz w:val="20"/>
        </w:rPr>
        <w:t xml:space="preserve"> настоящего Федерального закона, вправе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том числе посредством подавления или преобразования сигналов дистанционного управления беспилотными аппаратами, воздействия на пульты управления беспилотных аппаратов, а также повреждения или уничтожения беспилотных аппаратов.</w:t>
      </w:r>
    </w:p>
    <w:p>
      <w:pPr>
        <w:pStyle w:val="0"/>
        <w:ind w:firstLine="540"/>
        <w:jc w:val="both"/>
      </w:pPr>
      <w:r>
        <w:rPr>
          <w:sz w:val="20"/>
        </w:rPr>
      </w:r>
    </w:p>
    <w:bookmarkStart w:id="106" w:name="P106"/>
    <w:bookmarkEnd w:id="106"/>
    <w:p>
      <w:pPr>
        <w:pStyle w:val="2"/>
        <w:outlineLvl w:val="1"/>
        <w:ind w:firstLine="540"/>
        <w:jc w:val="both"/>
      </w:pPr>
      <w:r>
        <w:rPr>
          <w:sz w:val="20"/>
        </w:rPr>
        <w:t xml:space="preserve">Статья 7. Требования обеспечения безопасности и антитеррористической защищенности объектов топливно-энергетического комплекса</w:t>
      </w:r>
    </w:p>
    <w:p>
      <w:pPr>
        <w:pStyle w:val="0"/>
        <w:ind w:firstLine="540"/>
        <w:jc w:val="both"/>
      </w:pPr>
      <w:r>
        <w:rPr>
          <w:sz w:val="20"/>
        </w:rPr>
        <w:t xml:space="preserve">(в ред. Федерального </w:t>
      </w:r>
      <w:hyperlink w:history="0" r:id="rId3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владеющие на праве собственности или ином законном основании объектами, которым присвоена категория опасности,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топливно-энергетического комплекса, которым присвоена категория опасности.</w:t>
      </w:r>
    </w:p>
    <w:p>
      <w:pPr>
        <w:pStyle w:val="0"/>
        <w:spacing w:before="200" w:line-rule="auto"/>
        <w:ind w:firstLine="540"/>
        <w:jc w:val="both"/>
      </w:pPr>
      <w:r>
        <w:rPr>
          <w:sz w:val="20"/>
        </w:rPr>
        <w:t xml:space="preserve">2. Субъекты топливно-энергетического комплекса, владеющие на праве собственности или ином законном основании объектами, которым не присвоена категория опасности, либо объектами, которые не подлежат категорированию, самостоятельно определяют требования обеспечения безопасности и антитеррористической защищенности таких объектов.</w:t>
      </w:r>
    </w:p>
    <w:p>
      <w:pPr>
        <w:pStyle w:val="0"/>
        <w:spacing w:before="200" w:line-rule="auto"/>
        <w:ind w:firstLine="540"/>
        <w:jc w:val="both"/>
      </w:pPr>
      <w:r>
        <w:rPr>
          <w:sz w:val="20"/>
        </w:rPr>
        <w:t xml:space="preserve">3. 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не могут передавать в аренду или иное пользование здания, строения, сооружения, их части, входящие в состав таких объектов топливно-энергетического комплекса, а также земельные участки, на которых размещены указанные объекты топливно-энергетического комплекса, для целей, не связанных с производственной деятельностью, без согласования с уполномоченным федеральным органом исполнительной власти. </w:t>
      </w:r>
      <w:hyperlink w:history="0" r:id="rId34" w:tooltip="Приказ Минэнерго России от 09.12.2022 N 1299 &quot;Об утверждении Порядка согласования передачи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которым присвоена высокая категория опасности, в аренду или иное пользование зданий, строений, сооружений, их частей, входящих в состав таких объектов топливно-энергетического комплекса, а также земельных участков, на которых размещены указанные объекты топливно-эне {КонсультантПлюс}">
        <w:r>
          <w:rPr>
            <w:sz w:val="20"/>
            <w:color w:val="0000ff"/>
          </w:rPr>
          <w:t xml:space="preserve">Порядок</w:t>
        </w:r>
      </w:hyperlink>
      <w:r>
        <w:rPr>
          <w:sz w:val="20"/>
        </w:rPr>
        <w:t xml:space="preserve"> согласования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4. Субъекты топливно-энергетического комплекса на стадиях проектирования и строительства объектов топливно-энергетического комплекса обязаны принимать меры по обеспечению безопасности и антитеррористической защищенности таких объектов, локализации и уменьшению последствий чрезвычайных ситуаций.</w:t>
      </w:r>
    </w:p>
    <w:p>
      <w:pPr>
        <w:pStyle w:val="0"/>
        <w:ind w:firstLine="540"/>
        <w:jc w:val="both"/>
      </w:pPr>
      <w:r>
        <w:rPr>
          <w:sz w:val="20"/>
        </w:rPr>
      </w:r>
    </w:p>
    <w:p>
      <w:pPr>
        <w:pStyle w:val="2"/>
        <w:outlineLvl w:val="1"/>
        <w:ind w:firstLine="540"/>
        <w:jc w:val="both"/>
      </w:pPr>
      <w:r>
        <w:rPr>
          <w:sz w:val="20"/>
        </w:rPr>
        <w:t xml:space="preserve">Статья 8. Паспорт безопасности объекта топливно-энергетического комплекса</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составляют паспорта безопасности объектов топливно-энергетического комплекса по </w:t>
      </w:r>
      <w:hyperlink w:history="0" r:id="rId35" w:tooltip="Распоряжение Правительства РФ от 03.12.2022 N 3722-р &lt;Об утверждении формы паспорта безопасности объекта топливно-энергетического комплекса&gt; {КонсультантПлюс}">
        <w:r>
          <w:rPr>
            <w:sz w:val="20"/>
            <w:color w:val="0000ff"/>
          </w:rPr>
          <w:t xml:space="preserve">форме</w:t>
        </w:r>
      </w:hyperlink>
      <w:r>
        <w:rPr>
          <w:sz w:val="20"/>
        </w:rPr>
        <w:t xml:space="preserve"> и в порядке, которые установлены Правительством Российской Федерации.</w:t>
      </w:r>
    </w:p>
    <w:p>
      <w:pPr>
        <w:pStyle w:val="0"/>
        <w:jc w:val="both"/>
      </w:pPr>
      <w:r>
        <w:rPr>
          <w:sz w:val="20"/>
        </w:rPr>
        <w:t xml:space="preserve">(в ред. Федерального </w:t>
      </w:r>
      <w:hyperlink w:history="0" r:id="rId3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2. Паспорт безопасности объекта топливно-энергетического комплекса составляется на основании результатов его категорирования в зависимости от степени потенциальной опасности совершения акта незаконного вмешательства и его возможных социально-экономических последствий, а также на основании оценки системы физической защиты объекта топливно-энергетического комплекса при угрозах совершения актов незаконного вмешательства согласно требованиям, установленным Правительством Российской Федерации.</w:t>
      </w:r>
    </w:p>
    <w:p>
      <w:pPr>
        <w:pStyle w:val="0"/>
        <w:jc w:val="both"/>
      </w:pPr>
      <w:r>
        <w:rPr>
          <w:sz w:val="20"/>
        </w:rPr>
        <w:t xml:space="preserve">(часть 2 в ред. Федерального </w:t>
      </w:r>
      <w:hyperlink w:history="0" r:id="rId3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3. В паспорте безопасности объекта топливно-энергетического комплекса отражаются характеристика объекта, возможные социально-экономические последствия в результате совершения акта незаконного вмешательства, категория объекта, состояние системы его физической защиты, пожарной безопасности, а также содержатся соответствующие выводы и рекомендации.</w:t>
      </w:r>
    </w:p>
    <w:p>
      <w:pPr>
        <w:pStyle w:val="0"/>
        <w:jc w:val="both"/>
      </w:pPr>
      <w:r>
        <w:rPr>
          <w:sz w:val="20"/>
        </w:rPr>
        <w:t xml:space="preserve">(в ред. Федерального </w:t>
      </w:r>
      <w:hyperlink w:history="0" r:id="rId3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4. Паспорт безопасности объекта топливно-энергетического комплекса содержит мероприятия по обеспечению безопасности и антитеррористической защищенности объекта, реализуемые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самостоятельно, либо в случаях, предусмотренных требованиями, установленными Правительством Российской Федерации в соответствии со </w:t>
      </w:r>
      <w:hyperlink w:history="0" w:anchor="P106" w:tooltip="Статья 7. Требования обеспечения безопасности и антитеррористической защищенности объектов топливно-энергетического комплекса">
        <w:r>
          <w:rPr>
            <w:sz w:val="20"/>
            <w:color w:val="0000ff"/>
          </w:rPr>
          <w:t xml:space="preserve">статьей 7</w:t>
        </w:r>
      </w:hyperlink>
      <w:r>
        <w:rPr>
          <w:sz w:val="20"/>
        </w:rPr>
        <w:t xml:space="preserve"> настоящего Федерального закона, совместно с федеральными органами исполнительной власти, органами исполнительной власти субъектов Российской Федерации и (или) органами местного самоуправления, либо исключительно федеральными органами исполнительной власти.</w:t>
      </w:r>
    </w:p>
    <w:p>
      <w:pPr>
        <w:pStyle w:val="0"/>
        <w:jc w:val="both"/>
      </w:pPr>
      <w:r>
        <w:rPr>
          <w:sz w:val="20"/>
        </w:rPr>
        <w:t xml:space="preserve">(в ред. Федерального </w:t>
      </w:r>
      <w:hyperlink w:history="0" r:id="rId3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Паспорт безопасности объекта топливно-энергетического комплекса утверждается руководителем субъекта топливно-энергетического комплекса, владеющего на праве собственности или ином законном основании объектом, после согласования с председателем органа, сформированного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w:history="0" r:id="rId40"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или уполномоченным им лицом. Копия паспорта безопасности объекта топливно-энергетического комплекса направляется субъектом топливно-энергетического комплекса, владеющим на праве собственности или ином законном основании таким объектом,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и уполномоченный орган исполнительной власти субъекта Российской Федерации или уполномоченный орган публичной власти федеральной территории.</w:t>
      </w:r>
    </w:p>
    <w:p>
      <w:pPr>
        <w:pStyle w:val="0"/>
        <w:jc w:val="both"/>
      </w:pPr>
      <w:r>
        <w:rPr>
          <w:sz w:val="20"/>
        </w:rPr>
        <w:t xml:space="preserve">(часть 5 в ред. Федерального </w:t>
      </w:r>
      <w:hyperlink w:history="0" r:id="rId4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6. Информация, содержащаяся в паспортах безопасности объектов топливно-энергетического комплекса, является информацией, доступ к которой ограничен в соответствии с федеральными законами.</w:t>
      </w:r>
    </w:p>
    <w:p>
      <w:pPr>
        <w:pStyle w:val="0"/>
        <w:spacing w:before="200" w:line-rule="auto"/>
        <w:ind w:firstLine="540"/>
        <w:jc w:val="both"/>
      </w:pPr>
      <w:r>
        <w:rPr>
          <w:sz w:val="20"/>
        </w:rPr>
        <w:t xml:space="preserve">7. Паспорт безопасности объекта топливно-энергетического комплекса подлежит актуализации в </w:t>
      </w:r>
      <w:hyperlink w:history="0" r:id="rId42" w:tooltip="Постановление Правительства РФ от 05.05.2012 N 460 (ред. от 10.09.2016) &quot;Об утверждении Правил актуализации паспорта безопасности объекта топливно-энергетического комплекс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7 в ред. Федерального </w:t>
      </w:r>
      <w:hyperlink w:history="0" r:id="rId4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8. Порядок проведения анализа уязвимости объекта топливно-энергетического комплекса, оценки социально-экономических последствий совершения на объекте акта незаконного вмешательства при проведении категорирования объекта, оценки системы физической защиты объекта при угрозах совершения актов незаконного вмешательства утверждается Правительством Российской Федерации.</w:t>
      </w:r>
    </w:p>
    <w:p>
      <w:pPr>
        <w:pStyle w:val="0"/>
        <w:jc w:val="both"/>
      </w:pPr>
      <w:r>
        <w:rPr>
          <w:sz w:val="20"/>
        </w:rPr>
        <w:t xml:space="preserve">(часть 8 введена Федеральным </w:t>
      </w:r>
      <w:hyperlink w:history="0" r:id="rId44"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9. Система физической защиты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Система физической защиты объектов топливно-энергетического комплекса представляет собой совокупность направленных на предотвращение актов незаконного вмешательства организационных, административных и правовых мер, инженерно-технических средств охраны и действий подразделений и (или) организаций, указанных в </w:t>
      </w:r>
      <w:hyperlink w:history="0" w:anchor="P141" w:tooltip="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Федерального </w:t>
      </w:r>
      <w:hyperlink w:history="0" r:id="rId4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2. Обеспечение физической защиты объектов топливно-энергетического комплекса осуществляется на основе единой системы планирования и реализации комплекса технических и организационных мер, направленных на:</w:t>
      </w:r>
    </w:p>
    <w:p>
      <w:pPr>
        <w:pStyle w:val="0"/>
        <w:spacing w:before="200" w:line-rule="auto"/>
        <w:ind w:firstLine="540"/>
        <w:jc w:val="both"/>
      </w:pPr>
      <w:r>
        <w:rPr>
          <w:sz w:val="20"/>
        </w:rPr>
        <w:t xml:space="preserve">1) предотвращение несанкционированного проникновения на охраняемые объекты топливно-энергетического комплекса;</w:t>
      </w:r>
    </w:p>
    <w:p>
      <w:pPr>
        <w:pStyle w:val="0"/>
        <w:spacing w:before="200" w:line-rule="auto"/>
        <w:ind w:firstLine="540"/>
        <w:jc w:val="both"/>
      </w:pPr>
      <w:r>
        <w:rPr>
          <w:sz w:val="20"/>
        </w:rPr>
        <w:t xml:space="preserve">2) своевременное обнаружение и пресечение любых посягательств на целостность и безопасность охраняемых объектов топливно-энергетического комплекса, в том числе актов незаконного вмешательства.</w:t>
      </w:r>
    </w:p>
    <w:p>
      <w:pPr>
        <w:pStyle w:val="0"/>
        <w:spacing w:before="200" w:line-rule="auto"/>
        <w:ind w:firstLine="540"/>
        <w:jc w:val="both"/>
      </w:pPr>
      <w:r>
        <w:rPr>
          <w:sz w:val="20"/>
        </w:rPr>
        <w:t xml:space="preserve">3. Обеспечение физической защиты строящегося объекта топливно-энергетического комплекса, которому после ввода в эксплуатацию будет присвоена высокая категория опасности, должно осуществляться на стадии строительства.</w:t>
      </w:r>
    </w:p>
    <w:p>
      <w:pPr>
        <w:pStyle w:val="0"/>
        <w:jc w:val="both"/>
      </w:pPr>
      <w:r>
        <w:rPr>
          <w:sz w:val="20"/>
        </w:rPr>
        <w:t xml:space="preserve">(в ред. Федерального </w:t>
      </w:r>
      <w:hyperlink w:history="0" r:id="rId4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bookmarkStart w:id="141" w:name="P141"/>
    <w:bookmarkEnd w:id="141"/>
    <w:p>
      <w:pPr>
        <w:pStyle w:val="0"/>
        <w:spacing w:before="200" w:line-rule="auto"/>
        <w:ind w:firstLine="540"/>
        <w:jc w:val="both"/>
      </w:pPr>
      <w:r>
        <w:rPr>
          <w:sz w:val="20"/>
        </w:rPr>
        <w:t xml:space="preserve">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w:t>
      </w:r>
    </w:p>
    <w:p>
      <w:pPr>
        <w:pStyle w:val="0"/>
        <w:spacing w:before="200" w:line-rule="auto"/>
        <w:ind w:firstLine="540"/>
        <w:jc w:val="both"/>
      </w:pPr>
      <w:r>
        <w:rPr>
          <w:sz w:val="20"/>
        </w:rPr>
        <w:t xml:space="preserve">1) в отношении объекта, которому присвоена высокая категория опасности, - подразделения войск национальной гвардии Российской Федерации и (или) организации,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(далее - подразделения и (или) организации войск национальной гвардии), ведомственная охрана, созданная субъектом топливно-энергетического комплекса, указанным в </w:t>
      </w:r>
      <w:hyperlink w:history="0" w:anchor="P154" w:tooltip="Статья 9.1. Ведомственная охрана организаций топливно-энергетического комплекса">
        <w:r>
          <w:rPr>
            <w:sz w:val="20"/>
            <w:color w:val="0000ff"/>
          </w:rPr>
          <w:t xml:space="preserve">статье 9.1</w:t>
        </w:r>
      </w:hyperlink>
      <w:r>
        <w:rPr>
          <w:sz w:val="20"/>
        </w:rPr>
        <w:t xml:space="preserve"> настоящего Федерального закона (далее также - ведомственная охрана субъекта топливно-энергетического комплекса), или частная охранная организация, учрежденная субъектом топливно-энергетического комплекса, являющимся головной организацией, в соответствии со </w:t>
      </w:r>
      <w:hyperlink w:history="0" w:anchor="P159" w:tooltip="Статья 9.2. Частная охранная организация субъекта топливно-энергетического комплекса">
        <w:r>
          <w:rPr>
            <w:sz w:val="20"/>
            <w:color w:val="0000ff"/>
          </w:rPr>
          <w:t xml:space="preserve">статьей 9.2</w:t>
        </w:r>
      </w:hyperlink>
      <w:r>
        <w:rPr>
          <w:sz w:val="20"/>
        </w:rPr>
        <w:t xml:space="preserve"> настоящего Федерального закона (далее - частная охранная организация субъекта топливно-энергетического комплекса);</w:t>
      </w:r>
    </w:p>
    <w:p>
      <w:pPr>
        <w:pStyle w:val="0"/>
        <w:spacing w:before="200" w:line-rule="auto"/>
        <w:ind w:firstLine="540"/>
        <w:jc w:val="both"/>
      </w:pPr>
      <w:r>
        <w:rPr>
          <w:sz w:val="20"/>
        </w:rPr>
        <w:t xml:space="preserve">2) в отношении объекта, которому присвоена средняя категория опасности,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или частная охранная организация, которая соответствует установленным Правительством Российской Федерации специальным </w:t>
      </w:r>
      <w:hyperlink w:history="0" r:id="rId47" w:tooltip="Постановление Правительства РФ от 08.12.2022 N 2258 &quot;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унктами 2 и 3 части 4 статьи 9 Федерального закона &quot;О безопасности объектов топливно-энергетического комплекса&quot; {КонсультантПлюс}">
        <w:r>
          <w:rPr>
            <w:sz w:val="20"/>
            <w:color w:val="0000ff"/>
          </w:rPr>
          <w:t xml:space="preserve">требованиям</w:t>
        </w:r>
      </w:hyperlink>
      <w:r>
        <w:rPr>
          <w:sz w:val="20"/>
        </w:rPr>
        <w:t xml:space="preserve"> к частным охранным организациям;</w:t>
      </w:r>
    </w:p>
    <w:p>
      <w:pPr>
        <w:pStyle w:val="0"/>
        <w:spacing w:before="200" w:line-rule="auto"/>
        <w:ind w:firstLine="540"/>
        <w:jc w:val="both"/>
      </w:pPr>
      <w:r>
        <w:rPr>
          <w:sz w:val="20"/>
        </w:rPr>
        <w:t xml:space="preserve">3) в отношении объекта, которому присвоена низкая категория опасности, и объекта, которому не присвоена категория опасности или который не подлежит категорированию,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частная охранная организация, которая соответствует установленным Правительством Российской Федерации специальным </w:t>
      </w:r>
      <w:hyperlink w:history="0" r:id="rId48" w:tooltip="Постановление Правительства РФ от 08.12.2022 N 2258 &quot;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унктами 2 и 3 части 4 статьи 9 Федерального закона &quot;О безопасности объектов топливно-энергетического комплекса&quot; {КонсультантПлюс}">
        <w:r>
          <w:rPr>
            <w:sz w:val="20"/>
            <w:color w:val="0000ff"/>
          </w:rPr>
          <w:t xml:space="preserve">требованиям</w:t>
        </w:r>
      </w:hyperlink>
      <w:r>
        <w:rPr>
          <w:sz w:val="20"/>
        </w:rPr>
        <w:t xml:space="preserve"> к частным охранным организациям, или иная частная охранная организация.</w:t>
      </w:r>
    </w:p>
    <w:p>
      <w:pPr>
        <w:pStyle w:val="0"/>
        <w:jc w:val="both"/>
      </w:pPr>
      <w:r>
        <w:rPr>
          <w:sz w:val="20"/>
        </w:rPr>
        <w:t xml:space="preserve">(часть 4 в ред. Федерального </w:t>
      </w:r>
      <w:hyperlink w:history="0" r:id="rId4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w:t>
      </w:r>
      <w:hyperlink w:history="0" r:id="rId50" w:tooltip="Постановление Правительства РФ от 25.08.2017 N 1002 &quot;О взаимодействии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quot; {КонсультантПлюс}">
        <w:r>
          <w:rPr>
            <w:sz w:val="20"/>
            <w:color w:val="0000ff"/>
          </w:rPr>
          <w:t xml:space="preserve">Порядок</w:t>
        </w:r>
      </w:hyperlink>
      <w:r>
        <w:rPr>
          <w:sz w:val="20"/>
        </w:rP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 устанавливается Правительством Российской Федерации.</w:t>
      </w:r>
    </w:p>
    <w:p>
      <w:pPr>
        <w:pStyle w:val="0"/>
        <w:jc w:val="both"/>
      </w:pPr>
      <w:r>
        <w:rPr>
          <w:sz w:val="20"/>
        </w:rPr>
        <w:t xml:space="preserve">(часть 5 введена Федеральным </w:t>
      </w:r>
      <w:hyperlink w:history="0" r:id="rId51"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6.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определяет:</w:t>
      </w:r>
    </w:p>
    <w:p>
      <w:pPr>
        <w:pStyle w:val="0"/>
        <w:jc w:val="both"/>
      </w:pPr>
      <w:r>
        <w:rPr>
          <w:sz w:val="20"/>
        </w:rPr>
        <w:t xml:space="preserve">(в ред. Федерального </w:t>
      </w:r>
      <w:hyperlink w:history="0" r:id="rId5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bookmarkStart w:id="150" w:name="P150"/>
    <w:bookmarkEnd w:id="150"/>
    <w:p>
      <w:pPr>
        <w:pStyle w:val="0"/>
        <w:spacing w:before="200" w:line-rule="auto"/>
        <w:ind w:firstLine="540"/>
        <w:jc w:val="both"/>
      </w:pPr>
      <w:r>
        <w:rPr>
          <w:sz w:val="20"/>
        </w:rPr>
        <w:t xml:space="preserve">1) отдельные </w:t>
      </w:r>
      <w:hyperlink w:history="0" r:id="rId53" w:tooltip="Распоряжение Правительства РФ от 12.10.2020 N 2631-р &lt;Об утверждении перечня отдельных объектов топливно-энергетического комплекса, вокруг которых устанавливаются зоны безопасности объектов ТЭК&gt; {КонсультантПлюс}">
        <w:r>
          <w:rPr>
            <w:sz w:val="20"/>
            <w:color w:val="0000ff"/>
          </w:rPr>
          <w:t xml:space="preserve">объекты</w:t>
        </w:r>
      </w:hyperlink>
      <w:r>
        <w:rPr>
          <w:sz w:val="20"/>
        </w:rPr>
        <w:t xml:space="preserve">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w:t>
      </w:r>
    </w:p>
    <w:p>
      <w:pPr>
        <w:pStyle w:val="0"/>
        <w:spacing w:before="200" w:line-rule="auto"/>
        <w:ind w:firstLine="540"/>
        <w:jc w:val="both"/>
      </w:pPr>
      <w:r>
        <w:rPr>
          <w:sz w:val="20"/>
        </w:rPr>
        <w:t xml:space="preserve">2) </w:t>
      </w:r>
      <w:hyperlink w:history="0" r:id="rId54" w:tooltip="Постановление Правительства РФ от 10.11.2020 N 1809 (ред. от 12.10.2023) &quot;Об обеспечении особого режима защиты от актов незаконного вмешательства в зонах безопасности объектов топливно-энергетического комплекса, включенных в перечень отдельных объектов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quot; (вместе с &quot;Правилами обеспечения особого режима защиты от актов незаконного вмешатель {КонсультантПлюс}">
        <w:r>
          <w:rPr>
            <w:sz w:val="20"/>
            <w:color w:val="0000ff"/>
          </w:rPr>
          <w:t xml:space="preserve">меры</w:t>
        </w:r>
      </w:hyperlink>
      <w:r>
        <w:rPr>
          <w:sz w:val="20"/>
        </w:rPr>
        <w:t xml:space="preserve"> по обеспечению особого режима защиты от актов незаконного вмешательства в зоне безопасности объекта топливно-энергетического комплекса, включая порядок реализации этих мер.</w:t>
      </w:r>
    </w:p>
    <w:p>
      <w:pPr>
        <w:pStyle w:val="0"/>
        <w:jc w:val="both"/>
      </w:pPr>
      <w:r>
        <w:rPr>
          <w:sz w:val="20"/>
        </w:rPr>
        <w:t xml:space="preserve">(часть 6 введена Федеральным </w:t>
      </w:r>
      <w:hyperlink w:history="0" r:id="rId55" w:tooltip="Федеральный закон от 24.04.2020 N 139-ФЗ &quot;О внесении изменений в Федеральный закон &quot;О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24.04.2020 N 139-ФЗ)</w:t>
      </w:r>
    </w:p>
    <w:p>
      <w:pPr>
        <w:pStyle w:val="0"/>
        <w:ind w:firstLine="540"/>
        <w:jc w:val="both"/>
      </w:pPr>
      <w:r>
        <w:rPr>
          <w:sz w:val="20"/>
        </w:rPr>
      </w:r>
    </w:p>
    <w:bookmarkStart w:id="154" w:name="P154"/>
    <w:bookmarkEnd w:id="154"/>
    <w:p>
      <w:pPr>
        <w:pStyle w:val="2"/>
        <w:outlineLvl w:val="1"/>
        <w:ind w:firstLine="540"/>
        <w:jc w:val="both"/>
      </w:pPr>
      <w:r>
        <w:rPr>
          <w:sz w:val="20"/>
        </w:rPr>
        <w:t xml:space="preserve">Статья 9.1. Ведомственная охрана организаций топливно-энергетического комплекса</w:t>
      </w:r>
    </w:p>
    <w:p>
      <w:pPr>
        <w:pStyle w:val="0"/>
        <w:ind w:firstLine="540"/>
        <w:jc w:val="both"/>
      </w:pPr>
      <w:r>
        <w:rPr>
          <w:sz w:val="20"/>
        </w:rPr>
        <w:t xml:space="preserve">(введена Федеральным </w:t>
      </w:r>
      <w:hyperlink w:history="0" r:id="rId56" w:tooltip="Федеральный закон от 20.04.2014 N 75-ФЗ &quot;О внесении изменений в отдельные законодательные акты Российской Федерации по вопросу создания ведомственной охраны для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20.04.2014 N 75-ФЗ)</w:t>
      </w:r>
    </w:p>
    <w:p>
      <w:pPr>
        <w:pStyle w:val="0"/>
        <w:ind w:firstLine="540"/>
        <w:jc w:val="both"/>
      </w:pPr>
      <w:r>
        <w:rPr>
          <w:sz w:val="20"/>
        </w:rPr>
      </w:r>
    </w:p>
    <w:p>
      <w:pPr>
        <w:pStyle w:val="0"/>
        <w:ind w:firstLine="540"/>
        <w:jc w:val="both"/>
      </w:pPr>
      <w:r>
        <w:rPr>
          <w:sz w:val="20"/>
        </w:rPr>
        <w:t xml:space="preserve">Для обеспечения физической защиты объектов топливно-энергетического комплекса организация - собственник Единой системы газоснабжения, стратегическое акционерное общество, осуществляющее управление системой магистральных нефтепроводов и нефтепродуктопроводов, и стратегическое акционерное общество, ведущее деятельность по добыче и переработке углеводородного сырья, имеют право на создание ведомственной охраны.</w:t>
      </w:r>
    </w:p>
    <w:p>
      <w:pPr>
        <w:pStyle w:val="0"/>
        <w:ind w:firstLine="540"/>
        <w:jc w:val="both"/>
      </w:pPr>
      <w:r>
        <w:rPr>
          <w:sz w:val="20"/>
        </w:rPr>
      </w:r>
    </w:p>
    <w:bookmarkStart w:id="159" w:name="P159"/>
    <w:bookmarkEnd w:id="159"/>
    <w:p>
      <w:pPr>
        <w:pStyle w:val="2"/>
        <w:outlineLvl w:val="1"/>
        <w:ind w:firstLine="540"/>
        <w:jc w:val="both"/>
      </w:pPr>
      <w:r>
        <w:rPr>
          <w:sz w:val="20"/>
        </w:rPr>
        <w:t xml:space="preserve">Статья 9.2. Частная охранная организация субъекта топливно-энергетического комплекса</w:t>
      </w:r>
    </w:p>
    <w:p>
      <w:pPr>
        <w:pStyle w:val="0"/>
        <w:ind w:firstLine="540"/>
        <w:jc w:val="both"/>
      </w:pPr>
      <w:r>
        <w:rPr>
          <w:sz w:val="20"/>
        </w:rPr>
        <w:t xml:space="preserve">(введена Федеральным </w:t>
      </w:r>
      <w:hyperlink w:history="0" r:id="rId5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Субъекту топливно-энергетического комплекса, являющемуся головной организацией, по решению Правительства Российской Федерации, подготовленному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частной охранной деятельности, может быть предоставлено право на учреждение частной охранной организации исключительно для обеспечения физической защиты принадлежащих ему и (или) его дочерним обществам на праве собственности или ином законном основании объектов топливно-энергетического комплекса (далее - специальное право). Размер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не может быть менее 50 процентов.</w:t>
      </w:r>
    </w:p>
    <w:p>
      <w:pPr>
        <w:pStyle w:val="0"/>
        <w:spacing w:before="200" w:line-rule="auto"/>
        <w:ind w:firstLine="540"/>
        <w:jc w:val="both"/>
      </w:pPr>
      <w:r>
        <w:rPr>
          <w:sz w:val="20"/>
        </w:rPr>
        <w:t xml:space="preserve">2. В решении Правительства Российской Федерации о предоставлении субъекту топливно-энергетического комплекса специального права (далее - решение Правительства Российской Федерации) указываются:</w:t>
      </w:r>
    </w:p>
    <w:p>
      <w:pPr>
        <w:pStyle w:val="0"/>
        <w:spacing w:before="200" w:line-rule="auto"/>
        <w:ind w:firstLine="540"/>
        <w:jc w:val="both"/>
      </w:pPr>
      <w:r>
        <w:rPr>
          <w:sz w:val="20"/>
        </w:rPr>
        <w:t xml:space="preserve">1) полное и сокращенное наименования субъекта топливно-энергетического комплекса, которому предоставлено специальное право;</w:t>
      </w:r>
    </w:p>
    <w:p>
      <w:pPr>
        <w:pStyle w:val="0"/>
        <w:spacing w:before="200" w:line-rule="auto"/>
        <w:ind w:firstLine="540"/>
        <w:jc w:val="both"/>
      </w:pPr>
      <w:r>
        <w:rPr>
          <w:sz w:val="20"/>
        </w:rPr>
        <w:t xml:space="preserve">2) учредитель (учредители) частной охранной организации субъекта топливно-энергетического комплекса и размер доли (долей) в уставном капитале частной охранной организации субъекта топливно-энергетического комплекса, которому предоставлено специальное право.</w:t>
      </w:r>
    </w:p>
    <w:bookmarkStart w:id="166" w:name="P166"/>
    <w:bookmarkEnd w:id="166"/>
    <w:p>
      <w:pPr>
        <w:pStyle w:val="0"/>
        <w:spacing w:before="200" w:line-rule="auto"/>
        <w:ind w:firstLine="540"/>
        <w:jc w:val="both"/>
      </w:pPr>
      <w:r>
        <w:rPr>
          <w:sz w:val="20"/>
        </w:rPr>
        <w:t xml:space="preserve">3. Субъектом топливно-энергетического комплекса, которому предоставлено специальное право, может быть исключительно российское юридическое лицо:</w:t>
      </w:r>
    </w:p>
    <w:p>
      <w:pPr>
        <w:pStyle w:val="0"/>
        <w:spacing w:before="200" w:line-rule="auto"/>
        <w:ind w:firstLine="540"/>
        <w:jc w:val="both"/>
      </w:pPr>
      <w:r>
        <w:rPr>
          <w:sz w:val="20"/>
        </w:rPr>
        <w:t xml:space="preserve">1) в отношении которого у иностранного государства, международной организации, а также находящейся под их контролем организации, у иностранного юридического лица, иностранного гражданина либо лица без гражданства, гражданина Российской Федерации, имеющего гражданство другого государства, отсутствует возможность прямо или косвенно определять решения, принимаемые таким российским юридическим лицом, или давать обязательные для такого российского юридического лица указания;</w:t>
      </w:r>
    </w:p>
    <w:p>
      <w:pPr>
        <w:pStyle w:val="0"/>
        <w:spacing w:before="200" w:line-rule="auto"/>
        <w:ind w:firstLine="540"/>
        <w:jc w:val="both"/>
      </w:pPr>
      <w:r>
        <w:rPr>
          <w:sz w:val="20"/>
        </w:rPr>
        <w:t xml:space="preserve">2) которое владеет на праве собственности или ином законном основании объектом топливно-энергетического комплекса, которому присвоена категория опасности, и (или) имеет дочернее общество, владеющее на праве собственности или ином законном основании таким объектом топливно-энергетического комплекса.</w:t>
      </w:r>
    </w:p>
    <w:bookmarkStart w:id="169" w:name="P169"/>
    <w:bookmarkEnd w:id="169"/>
    <w:p>
      <w:pPr>
        <w:pStyle w:val="0"/>
        <w:spacing w:before="200" w:line-rule="auto"/>
        <w:ind w:firstLine="540"/>
        <w:jc w:val="both"/>
      </w:pPr>
      <w:r>
        <w:rPr>
          <w:sz w:val="20"/>
        </w:rPr>
        <w:t xml:space="preserve">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w:t>
      </w:r>
    </w:p>
    <w:p>
      <w:pPr>
        <w:pStyle w:val="0"/>
        <w:spacing w:before="200" w:line-rule="auto"/>
        <w:ind w:firstLine="540"/>
        <w:jc w:val="both"/>
      </w:pPr>
      <w:r>
        <w:rPr>
          <w:sz w:val="20"/>
        </w:rPr>
        <w:t xml:space="preserve">1) если доля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составит менее 50 процентов;</w:t>
      </w:r>
    </w:p>
    <w:p>
      <w:pPr>
        <w:pStyle w:val="0"/>
        <w:spacing w:before="200" w:line-rule="auto"/>
        <w:ind w:firstLine="540"/>
        <w:jc w:val="both"/>
      </w:pPr>
      <w:r>
        <w:rPr>
          <w:sz w:val="20"/>
        </w:rPr>
        <w:t xml:space="preserve">2) перехода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к третьим лицам;</w:t>
      </w:r>
    </w:p>
    <w:p>
      <w:pPr>
        <w:pStyle w:val="0"/>
        <w:spacing w:before="200" w:line-rule="auto"/>
        <w:ind w:firstLine="540"/>
        <w:jc w:val="both"/>
      </w:pPr>
      <w:r>
        <w:rPr>
          <w:sz w:val="20"/>
        </w:rPr>
        <w:t xml:space="preserve">3) несоответствия субъекта топливно-энергетического комплекса, которому предоставлено специальное право, требованиям, установленным </w:t>
      </w:r>
      <w:hyperlink w:history="0" w:anchor="P166" w:tooltip="3. Субъектом топливно-энергетического комплекса, которому предоставлено специальное право, может быть исключительно российское юридическое лицо:">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В случае возникновения обстоятельств, предусмотренных </w:t>
      </w:r>
      <w:hyperlink w:history="0" w:anchor="P169" w:tooltip="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
        <w:r>
          <w:rPr>
            <w:sz w:val="20"/>
            <w:color w:val="0000ff"/>
          </w:rPr>
          <w:t xml:space="preserve">частью 4</w:t>
        </w:r>
      </w:hyperlink>
      <w:r>
        <w:rPr>
          <w:sz w:val="20"/>
        </w:rPr>
        <w:t xml:space="preserve"> настоящей статьи, субъект топливно-энергетического комплекса, которому предоставлено специальное право, обязан в течение 14 дней уведомить об этом соответствующий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частной охранной деятельности, по месту регистрации частной охранной организации субъекта топливно-энергетического комплекса.</w:t>
      </w:r>
    </w:p>
    <w:p>
      <w:pPr>
        <w:pStyle w:val="0"/>
        <w:spacing w:before="200" w:line-rule="auto"/>
        <w:ind w:firstLine="540"/>
        <w:jc w:val="both"/>
      </w:pPr>
      <w:r>
        <w:rPr>
          <w:sz w:val="20"/>
        </w:rPr>
        <w:t xml:space="preserve">6. Частная охранная организация субъекта топливно-энергетического комплекса должна быть зарегистрирована на территории Российской Федерации, при этом размер уставного капитала данной частной охранной организации не может быть менее 1,5 миллиона рублей.</w:t>
      </w:r>
    </w:p>
    <w:bookmarkStart w:id="175" w:name="P175"/>
    <w:bookmarkEnd w:id="175"/>
    <w:p>
      <w:pPr>
        <w:pStyle w:val="0"/>
        <w:spacing w:before="200" w:line-rule="auto"/>
        <w:ind w:firstLine="540"/>
        <w:jc w:val="both"/>
      </w:pPr>
      <w:r>
        <w:rPr>
          <w:sz w:val="20"/>
        </w:rPr>
        <w:t xml:space="preserve">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w:t>
      </w:r>
    </w:p>
    <w:p>
      <w:pPr>
        <w:pStyle w:val="0"/>
        <w:spacing w:before="200" w:line-rule="auto"/>
        <w:ind w:firstLine="540"/>
        <w:jc w:val="both"/>
      </w:pPr>
      <w:r>
        <w:rPr>
          <w:sz w:val="20"/>
        </w:rPr>
        <w:t xml:space="preserve">8. </w:t>
      </w:r>
      <w:hyperlink w:history="0" r:id="rId58" w:tooltip="Распоряжение Правительства РФ от 01.10.2022 N 2886-р &lt;Об утверждении формы обращения и перечня документов, направляемых субъектом топливно-энергетического комплекса в Министерство энергетики Российской Федерации, для подготовки решения Правительства Российской Федерации о предоставлении права на учреждение частной охранной организации&gt; {КонсультантПлюс}">
        <w:r>
          <w:rPr>
            <w:sz w:val="20"/>
            <w:color w:val="0000ff"/>
          </w:rPr>
          <w:t xml:space="preserve">Форма</w:t>
        </w:r>
      </w:hyperlink>
      <w:r>
        <w:rPr>
          <w:sz w:val="20"/>
        </w:rPr>
        <w:t xml:space="preserve"> обращения и </w:t>
      </w:r>
      <w:hyperlink w:history="0" r:id="rId59" w:tooltip="Распоряжение Правительства РФ от 01.10.2022 N 2886-р &lt;Об утверждении формы обращения и перечня документов, направляемых субъектом топливно-энергетического комплекса в Министерство энергетики Российской Федерации, для подготовки решения Правительства Российской Федерации о предоставлении права на учреждение частной охранной организации&gt; {КонсультантПлюс}">
        <w:r>
          <w:rPr>
            <w:sz w:val="20"/>
            <w:color w:val="0000ff"/>
          </w:rPr>
          <w:t xml:space="preserve">перечень</w:t>
        </w:r>
      </w:hyperlink>
      <w:r>
        <w:rPr>
          <w:sz w:val="20"/>
        </w:rPr>
        <w:t xml:space="preserve"> документов, направляемых субъектом топливно-энергетического комплекса, которому предоставлено специальное право,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подготовки решения Правительства Российской Федерации, устанавливаются Правительством Российской Федерации.</w:t>
      </w:r>
    </w:p>
    <w:bookmarkStart w:id="177" w:name="P177"/>
    <w:bookmarkEnd w:id="177"/>
    <w:p>
      <w:pPr>
        <w:pStyle w:val="0"/>
        <w:spacing w:before="200" w:line-rule="auto"/>
        <w:ind w:firstLine="540"/>
        <w:jc w:val="both"/>
      </w:pPr>
      <w:r>
        <w:rPr>
          <w:sz w:val="20"/>
        </w:rPr>
        <w:t xml:space="preserve">9. Частная охранная организация субъекта топливно-энергетического комплекса должна соответствовать требованиям, установленным </w:t>
      </w:r>
      <w:hyperlink w:history="0" r:id="rId60"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Законом</w:t>
        </w:r>
      </w:hyperlink>
      <w:r>
        <w:rPr>
          <w:sz w:val="20"/>
        </w:rPr>
        <w:t xml:space="preserve"> Российской Федерации от 11 марта 1992 года N 2487-I "О частной детективной и охранной деятельности в Российской Федерации",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w:t>
      </w:r>
    </w:p>
    <w:p>
      <w:pPr>
        <w:pStyle w:val="0"/>
        <w:spacing w:before="200" w:line-rule="auto"/>
        <w:ind w:firstLine="540"/>
        <w:jc w:val="both"/>
      </w:pPr>
      <w:r>
        <w:rPr>
          <w:sz w:val="20"/>
        </w:rPr>
        <w:t xml:space="preserve">10. Контроль за соблюдением частной охранной организацией субъекта топливно-энергетического комплекса требований, указанных в </w:t>
      </w:r>
      <w:hyperlink w:history="0" w:anchor="P169" w:tooltip="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
        <w:r>
          <w:rPr>
            <w:sz w:val="20"/>
            <w:color w:val="0000ff"/>
          </w:rPr>
          <w:t xml:space="preserve">частях 4</w:t>
        </w:r>
      </w:hyperlink>
      <w:r>
        <w:rPr>
          <w:sz w:val="20"/>
        </w:rPr>
        <w:t xml:space="preserve"> - </w:t>
      </w:r>
      <w:hyperlink w:history="0" w:anchor="P175" w:tooltip="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
        <w:r>
          <w:rPr>
            <w:sz w:val="20"/>
            <w:color w:val="0000ff"/>
          </w:rPr>
          <w:t xml:space="preserve">7</w:t>
        </w:r>
      </w:hyperlink>
      <w:r>
        <w:rPr>
          <w:sz w:val="20"/>
        </w:rPr>
        <w:t xml:space="preserve"> и </w:t>
      </w:r>
      <w:hyperlink w:history="0" w:anchor="P177" w:tooltip="9. Частная охранная организация субъекта топливно-энергетического комплекса должна соответствовать требованиям, установленным Законом Российской Федерации от 11 марта 1992 года N 2487-I &quot;О частной детективной и охранной деятельности в Российской Федерации&quot;,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
        <w:r>
          <w:rPr>
            <w:sz w:val="20"/>
            <w:color w:val="0000ff"/>
          </w:rPr>
          <w:t xml:space="preserve">9</w:t>
        </w:r>
      </w:hyperlink>
      <w:r>
        <w:rPr>
          <w:sz w:val="20"/>
        </w:rPr>
        <w:t xml:space="preserve"> настоящей статьи, осуществляется в рамках федерального государственного контроля (надзора) за соблюдением законодательства Российской Федерации в области частной охранной деятельности.</w:t>
      </w:r>
    </w:p>
    <w:p>
      <w:pPr>
        <w:pStyle w:val="0"/>
        <w:ind w:firstLine="540"/>
        <w:jc w:val="both"/>
      </w:pPr>
      <w:r>
        <w:rPr>
          <w:sz w:val="20"/>
        </w:rPr>
      </w:r>
    </w:p>
    <w:bookmarkStart w:id="180" w:name="P180"/>
    <w:bookmarkEnd w:id="180"/>
    <w:p>
      <w:pPr>
        <w:pStyle w:val="2"/>
        <w:outlineLvl w:val="1"/>
        <w:ind w:firstLine="540"/>
        <w:jc w:val="both"/>
      </w:pPr>
      <w:r>
        <w:rPr>
          <w:sz w:val="20"/>
        </w:rPr>
        <w:t xml:space="preserve">Статья 10. Требования к персоналу, обеспечивающему безопасность объектов топливно-энергетического комплекса</w:t>
      </w:r>
    </w:p>
    <w:p>
      <w:pPr>
        <w:pStyle w:val="0"/>
        <w:ind w:firstLine="540"/>
        <w:jc w:val="both"/>
      </w:pPr>
      <w:r>
        <w:rPr>
          <w:sz w:val="20"/>
        </w:rPr>
      </w:r>
    </w:p>
    <w:bookmarkStart w:id="182" w:name="P182"/>
    <w:bookmarkEnd w:id="182"/>
    <w:p>
      <w:pPr>
        <w:pStyle w:val="0"/>
        <w:ind w:firstLine="540"/>
        <w:jc w:val="both"/>
      </w:pPr>
      <w:r>
        <w:rPr>
          <w:sz w:val="20"/>
        </w:rPr>
        <w:t xml:space="preserve">1. Работу, непосредственно связанную с обеспечением безопасности объектов топливно-энергетического комплекса, не вправе выполнять лица:</w:t>
      </w:r>
    </w:p>
    <w:p>
      <w:pPr>
        <w:pStyle w:val="0"/>
        <w:jc w:val="both"/>
      </w:pPr>
      <w:r>
        <w:rPr>
          <w:sz w:val="20"/>
        </w:rPr>
        <w:t xml:space="preserve">(в ред. Федерального </w:t>
      </w:r>
      <w:hyperlink w:history="0" r:id="rId6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1)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состоящие на учете в учреждениях органов здравоохранения по поводу психического заболевания, алкоголизма или наркомании;</w:t>
      </w:r>
    </w:p>
    <w:p>
      <w:pPr>
        <w:pStyle w:val="0"/>
        <w:spacing w:before="200" w:line-rule="auto"/>
        <w:ind w:firstLine="540"/>
        <w:jc w:val="both"/>
      </w:pPr>
      <w:r>
        <w:rPr>
          <w:sz w:val="20"/>
        </w:rPr>
        <w:t xml:space="preserve">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pPr>
        <w:pStyle w:val="0"/>
        <w:spacing w:before="200" w:line-rule="auto"/>
        <w:ind w:firstLine="540"/>
        <w:jc w:val="both"/>
      </w:pPr>
      <w:r>
        <w:rPr>
          <w:sz w:val="20"/>
        </w:rPr>
        <w:t xml:space="preserve">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pPr>
        <w:pStyle w:val="0"/>
        <w:jc w:val="both"/>
      </w:pPr>
      <w:r>
        <w:rPr>
          <w:sz w:val="20"/>
        </w:rPr>
        <w:t xml:space="preserve">(п. 4 введен Федеральным </w:t>
      </w:r>
      <w:hyperlink w:history="0" r:id="rId6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pPr>
        <w:pStyle w:val="0"/>
        <w:jc w:val="both"/>
      </w:pPr>
      <w:r>
        <w:rPr>
          <w:sz w:val="20"/>
        </w:rPr>
        <w:t xml:space="preserve">(п. 5 введен Федеральным </w:t>
      </w:r>
      <w:hyperlink w:history="0" r:id="rId6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2. </w:t>
      </w:r>
      <w:hyperlink w:history="0" r:id="rId64" w:tooltip="Приказ Минэнерго РФ от 13.12.2011 N 587 &quot;Об утверждении перечня работ, непосредственно связанных с обеспечением безопасности объектов топливно-энергетического комплекса&quot; (Зарегистрировано в Минюсте РФ 26.01.2012 N 23027) {КонсультантПлюс}">
        <w:r>
          <w:rPr>
            <w:sz w:val="20"/>
            <w:color w:val="0000ff"/>
          </w:rPr>
          <w:t xml:space="preserve">Перечень</w:t>
        </w:r>
      </w:hyperlink>
      <w:r>
        <w:rPr>
          <w:sz w:val="20"/>
        </w:rPr>
        <w:t xml:space="preserve"> работ, непосредственно связанных с обеспечением безопасности объектов топливно-энергетического комплекса,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обеспечения безопасности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p>
    <w:p>
      <w:pPr>
        <w:pStyle w:val="0"/>
        <w:jc w:val="both"/>
      </w:pPr>
      <w:r>
        <w:rPr>
          <w:sz w:val="20"/>
        </w:rPr>
        <w:t xml:space="preserve">(в ред. Федеральных законов от 03.07.2016 </w:t>
      </w:r>
      <w:hyperlink w:history="0" r:id="rId6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28.06.2022 </w:t>
      </w:r>
      <w:hyperlink w:history="0" r:id="rId6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rPr>
        <w:t xml:space="preserve">)</w:t>
      </w:r>
    </w:p>
    <w:bookmarkStart w:id="193" w:name="P193"/>
    <w:bookmarkEnd w:id="193"/>
    <w:p>
      <w:pPr>
        <w:pStyle w:val="0"/>
        <w:spacing w:before="200" w:line-rule="auto"/>
        <w:ind w:firstLine="540"/>
        <w:jc w:val="both"/>
      </w:pPr>
      <w:r>
        <w:rPr>
          <w:sz w:val="20"/>
        </w:rPr>
        <w:t xml:space="preserve">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w:t>
      </w:r>
      <w:hyperlink w:history="0" w:anchor="P182" w:tooltip="1. Работу, непосредственно связанную с обеспечением безопасности объектов топливно-энергетического комплекса, не вправе выполнять лица:">
        <w:r>
          <w:rPr>
            <w:sz w:val="20"/>
            <w:color w:val="0000ff"/>
          </w:rPr>
          <w:t xml:space="preserve">части 1</w:t>
        </w:r>
      </w:hyperlink>
      <w:r>
        <w:rPr>
          <w:sz w:val="20"/>
        </w:rPr>
        <w:t xml:space="preserve"> настоящей статьи, в </w:t>
      </w:r>
      <w:hyperlink w:history="0" r:id="rId67" w:tooltip="Постановление Правительства РФ от 09.11.2022 N 2011 &quot;Об утверждении Правил проверки субъектом топливно-энергетического комплекса сведений, указанных в статье 10 Федерального закона &quot;О безопасности объектов топливно-энергетического комплекса&quot;,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субъектом топливно-энергетического комплекса, и пер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комплекса.</w:t>
      </w:r>
    </w:p>
    <w:p>
      <w:pPr>
        <w:pStyle w:val="0"/>
        <w:jc w:val="both"/>
      </w:pPr>
      <w:r>
        <w:rPr>
          <w:sz w:val="20"/>
        </w:rPr>
        <w:t xml:space="preserve">(часть 3 введена Федеральным </w:t>
      </w:r>
      <w:hyperlink w:history="0" r:id="rId6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4. </w:t>
      </w:r>
      <w:hyperlink w:history="0" r:id="rId69" w:tooltip="Постановление Правительства РФ от 09.11.2022 N 2011 &quot;Об утверждении Правил проверки субъектом топливно-энергетического комплекса сведений, указанных в статье 10 Федерального закона &quot;О безопасности объектов топливно-энергетического комплекса&quot;,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субъектом топливно-энергетического комплекса, и пер {КонсультантПлюс}">
        <w:r>
          <w:rPr>
            <w:sz w:val="20"/>
            <w:color w:val="0000ff"/>
          </w:rPr>
          <w:t xml:space="preserve">Перечень</w:t>
        </w:r>
      </w:hyperlink>
      <w:r>
        <w:rPr>
          <w:sz w:val="20"/>
        </w:rPr>
        <w:t xml:space="preserve"> сведений, предоставляемых физическими лицами, указанными в </w:t>
      </w:r>
      <w:hyperlink w:history="0" w:anchor="P193" w:tooltip="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части 1 настоящей статьи, в порядке, установленном Правительством Российской Федерации,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
        <w:r>
          <w:rPr>
            <w:sz w:val="20"/>
            <w:color w:val="0000ff"/>
          </w:rPr>
          <w:t xml:space="preserve">части 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4 введена Федеральным </w:t>
      </w:r>
      <w:hyperlink w:history="0" r:id="rId70"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11. Обеспечение безопасности информационных систем объектов топливно-энергетического комплекса</w:t>
      </w:r>
    </w:p>
    <w:p>
      <w:pPr>
        <w:pStyle w:val="0"/>
        <w:ind w:firstLine="540"/>
        <w:jc w:val="both"/>
      </w:pPr>
      <w:r>
        <w:rPr>
          <w:sz w:val="20"/>
        </w:rPr>
      </w:r>
    </w:p>
    <w:bookmarkStart w:id="200" w:name="P200"/>
    <w:bookmarkEnd w:id="200"/>
    <w:p>
      <w:pPr>
        <w:pStyle w:val="0"/>
        <w:ind w:firstLine="540"/>
        <w:jc w:val="both"/>
      </w:pPr>
      <w:r>
        <w:rPr>
          <w:sz w:val="20"/>
        </w:rPr>
        <w:t xml:space="preserve">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антитеррористическую защищенность объектов топливно-энергетического комплекса.</w:t>
      </w:r>
    </w:p>
    <w:p>
      <w:pPr>
        <w:pStyle w:val="0"/>
        <w:spacing w:before="200" w:line-rule="auto"/>
        <w:ind w:firstLine="540"/>
        <w:jc w:val="both"/>
      </w:pPr>
      <w:r>
        <w:rPr>
          <w:sz w:val="20"/>
        </w:rPr>
        <w:t xml:space="preserve">2. Информация о системах, указанных в </w:t>
      </w:r>
      <w:hyperlink w:history="0" w:anchor="P200" w:tooltip="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w:r>
          <w:rPr>
            <w:sz w:val="20"/>
            <w:color w:val="0000ff"/>
          </w:rPr>
          <w:t xml:space="preserve">части 1</w:t>
        </w:r>
      </w:hyperlink>
      <w:r>
        <w:rPr>
          <w:sz w:val="20"/>
        </w:rPr>
        <w:t xml:space="preserve"> настоящей статьи, является информацией, доступ к которой ограничен федеральными законами. Указанная информация вносится в паспорта безопасности объектов топливно-энергетического комплекса.</w:t>
      </w:r>
    </w:p>
    <w:p>
      <w:pPr>
        <w:pStyle w:val="0"/>
        <w:ind w:firstLine="540"/>
        <w:jc w:val="both"/>
      </w:pPr>
      <w:r>
        <w:rPr>
          <w:sz w:val="20"/>
        </w:rPr>
      </w:r>
    </w:p>
    <w:bookmarkStart w:id="203" w:name="P203"/>
    <w:bookmarkEnd w:id="203"/>
    <w:p>
      <w:pPr>
        <w:pStyle w:val="2"/>
        <w:outlineLvl w:val="1"/>
        <w:ind w:firstLine="540"/>
        <w:jc w:val="both"/>
      </w:pPr>
      <w:r>
        <w:rPr>
          <w:sz w:val="20"/>
        </w:rPr>
        <w:t xml:space="preserve">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имеют право:</w:t>
      </w:r>
    </w:p>
    <w:p>
      <w:pPr>
        <w:pStyle w:val="0"/>
        <w:spacing w:before="200" w:line-rule="auto"/>
        <w:ind w:firstLine="540"/>
        <w:jc w:val="both"/>
      </w:pPr>
      <w:r>
        <w:rPr>
          <w:sz w:val="20"/>
        </w:rPr>
        <w:t xml:space="preserve">1)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топливно-энергетического комплекса;</w:t>
      </w:r>
    </w:p>
    <w:p>
      <w:pPr>
        <w:pStyle w:val="0"/>
        <w:jc w:val="both"/>
      </w:pPr>
      <w:r>
        <w:rPr>
          <w:sz w:val="20"/>
        </w:rPr>
        <w:t xml:space="preserve">(в ред. Федерального </w:t>
      </w:r>
      <w:hyperlink w:history="0" r:id="rId7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2) вносить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федеральный орган исполнительной власти в области обеспечения безопасности,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и федеральный орган исполнительной власти, уполномоченный на решение задач в области защиты населения и территорий от чрезвычайных ситуаций, предложения об обеспечении безопасности объектов топливно-энергетического комплекса;</w:t>
      </w:r>
    </w:p>
    <w:p>
      <w:pPr>
        <w:pStyle w:val="0"/>
        <w:jc w:val="both"/>
      </w:pPr>
      <w:r>
        <w:rPr>
          <w:sz w:val="20"/>
        </w:rPr>
        <w:t xml:space="preserve">(в ред. Федеральных законов от 03.07.2016 </w:t>
      </w:r>
      <w:hyperlink w:history="0" r:id="rId7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28.06.2022 </w:t>
      </w:r>
      <w:hyperlink w:history="0" r:id="rId7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rPr>
        <w:t xml:space="preserve">)</w:t>
      </w:r>
    </w:p>
    <w:p>
      <w:pPr>
        <w:pStyle w:val="0"/>
        <w:spacing w:before="200" w:line-rule="auto"/>
        <w:ind w:firstLine="540"/>
        <w:jc w:val="both"/>
      </w:pPr>
      <w:r>
        <w:rPr>
          <w:sz w:val="20"/>
        </w:rPr>
        <w:t xml:space="preserve">3) привлекать для обеспечения физической защиты объектов топливно-энергетического комплекса подразделения и (или) организации, указанные в </w:t>
      </w:r>
      <w:hyperlink w:history="0" w:anchor="P141" w:tooltip="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
        <w:r>
          <w:rPr>
            <w:sz w:val="20"/>
            <w:color w:val="0000ff"/>
          </w:rPr>
          <w:t xml:space="preserve">части 4 статьи 9</w:t>
        </w:r>
      </w:hyperlink>
      <w:r>
        <w:rPr>
          <w:sz w:val="20"/>
        </w:rPr>
        <w:t xml:space="preserve"> настоящего Федерального закона, имеющие право приобретать и использовать гражданское, служебное огнестрельное оружие, боевое ручное стрелковое оружие, а также специальные средства в порядке, установленном законодательством Российской Федерации;</w:t>
      </w:r>
    </w:p>
    <w:p>
      <w:pPr>
        <w:pStyle w:val="0"/>
        <w:spacing w:before="200" w:line-rule="auto"/>
        <w:ind w:firstLine="540"/>
        <w:jc w:val="both"/>
      </w:pPr>
      <w:r>
        <w:rPr>
          <w:sz w:val="20"/>
        </w:rPr>
        <w:t xml:space="preserve">4) совершать иные действия, предусмотренные законодательством Российской Федерации, направленные на обеспечение безопасности объектов топливно-энергетического комплекса.</w:t>
      </w:r>
    </w:p>
    <w:p>
      <w:pPr>
        <w:pStyle w:val="0"/>
        <w:spacing w:before="200" w:line-rule="auto"/>
        <w:ind w:firstLine="540"/>
        <w:jc w:val="both"/>
      </w:pPr>
      <w:r>
        <w:rPr>
          <w:sz w:val="20"/>
        </w:rPr>
        <w:t xml:space="preserve">2. Субъекты топливно-энергетического комплекса, владеющие на праве собственности или ином законном основании объектами, обязаны:</w:t>
      </w:r>
    </w:p>
    <w:p>
      <w:pPr>
        <w:pStyle w:val="0"/>
        <w:jc w:val="both"/>
      </w:pPr>
      <w:r>
        <w:rPr>
          <w:sz w:val="20"/>
        </w:rPr>
        <w:t xml:space="preserve">(в ред. Федерального </w:t>
      </w:r>
      <w:hyperlink w:history="0" r:id="rId74"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1) незамедлительно информировать в </w:t>
      </w:r>
      <w:hyperlink w:history="0" r:id="rId75" w:tooltip="Постановление Правительства РФ от 02.10.2013 N 861 (ред. от 02.08.2017) &quot;Об утверждении Правил информирования субъектами топливно-энергетического комплекса об угрозах совершения и о совершении актов незаконного вмешательства на объектах топливно-энергетического комплекса&quot; {КонсультантПлюс}">
        <w:r>
          <w:rPr>
            <w:sz w:val="20"/>
            <w:color w:val="0000ff"/>
          </w:rPr>
          <w:t xml:space="preserve">порядке</w:t>
        </w:r>
      </w:hyperlink>
      <w:r>
        <w:rPr>
          <w:sz w:val="20"/>
        </w:rPr>
        <w:t xml:space="preserve">, установленном Правительством Российской Федерации, об угрозах совершения и о совершении актов незаконного вмешательства на объектах топливно-энергетического комплекса;</w:t>
      </w:r>
    </w:p>
    <w:p>
      <w:pPr>
        <w:pStyle w:val="0"/>
        <w:jc w:val="both"/>
      </w:pPr>
      <w:r>
        <w:rPr>
          <w:sz w:val="20"/>
        </w:rPr>
        <w:t xml:space="preserve">(в ред. Федерального </w:t>
      </w:r>
      <w:hyperlink w:history="0" r:id="rId76" w:tooltip="Федеральный закон от 02.07.2013 N 163-ФЗ &quot;О внесении изменений в статьи 12 и 17 Федерального закона &quot;О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02.07.2013 N 163-ФЗ)</w:t>
      </w:r>
    </w:p>
    <w:p>
      <w:pPr>
        <w:pStyle w:val="0"/>
        <w:spacing w:before="200" w:line-rule="auto"/>
        <w:ind w:firstLine="540"/>
        <w:jc w:val="both"/>
      </w:pPr>
      <w:r>
        <w:rPr>
          <w:sz w:val="20"/>
        </w:rP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и антитеррористической защищенности объектов топливно-энергетического комплекса;</w:t>
      </w:r>
    </w:p>
    <w:p>
      <w:pPr>
        <w:pStyle w:val="0"/>
        <w:jc w:val="both"/>
      </w:pPr>
      <w:r>
        <w:rPr>
          <w:sz w:val="20"/>
        </w:rPr>
        <w:t xml:space="preserve">(в ред. Федеральных законов от 14.10.2014 </w:t>
      </w:r>
      <w:hyperlink w:history="0" r:id="rId7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28.06.2022 </w:t>
      </w:r>
      <w:hyperlink w:history="0" r:id="rId7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rPr>
        <w:t xml:space="preserve">)</w:t>
      </w:r>
    </w:p>
    <w:p>
      <w:pPr>
        <w:pStyle w:val="0"/>
        <w:spacing w:before="200" w:line-rule="auto"/>
        <w:ind w:firstLine="540"/>
        <w:jc w:val="both"/>
      </w:pPr>
      <w:r>
        <w:rPr>
          <w:sz w:val="20"/>
        </w:rPr>
        <w:t xml:space="preserve">3) оказывать содействие в выявлении, предупреждении и пресечении актов незаконного вмешательства, а также в ликвидации их последствий, установлении причин и условий их совершения;</w:t>
      </w:r>
    </w:p>
    <w:p>
      <w:pPr>
        <w:pStyle w:val="0"/>
        <w:spacing w:before="200" w:line-rule="auto"/>
        <w:ind w:firstLine="540"/>
        <w:jc w:val="both"/>
      </w:pPr>
      <w:r>
        <w:rPr>
          <w:sz w:val="20"/>
        </w:rPr>
        <w:t xml:space="preserve">4) осуществлять меры по обеспечению безопасного функционирования объектов топливно-энергетического комплекса, локализации и уменьшению последствий чрезвычайных ситуаций;</w:t>
      </w:r>
    </w:p>
    <w:p>
      <w:pPr>
        <w:pStyle w:val="0"/>
        <w:jc w:val="both"/>
      </w:pPr>
      <w:r>
        <w:rPr>
          <w:sz w:val="20"/>
        </w:rPr>
        <w:t xml:space="preserve">(в ред. Федерального </w:t>
      </w:r>
      <w:hyperlink w:history="0" r:id="rId7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обеспечивать готовность объектов топливно-энергетического комплекса к локализации и уменьшению последствий потенциальных чрезвычайных ситуаций,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pPr>
        <w:pStyle w:val="0"/>
        <w:spacing w:before="200" w:line-rule="auto"/>
        <w:ind w:firstLine="540"/>
        <w:jc w:val="both"/>
      </w:pPr>
      <w:r>
        <w:rPr>
          <w:sz w:val="20"/>
        </w:rPr>
        <w:t xml:space="preserve">6) обеспечивать проведение категорирования объектов топливно-энергетического комплекса;</w:t>
      </w:r>
    </w:p>
    <w:p>
      <w:pPr>
        <w:pStyle w:val="0"/>
        <w:jc w:val="both"/>
      </w:pPr>
      <w:r>
        <w:rPr>
          <w:sz w:val="20"/>
        </w:rPr>
        <w:t xml:space="preserve">(п. 6 введен Федеральным </w:t>
      </w:r>
      <w:hyperlink w:history="0" r:id="rId80"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7) направлять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информацию об объектах топливно-энергетического комплекса, не подлежащих категорированию, для включения ее в реестр объектов топливно-энергетического комплекса.</w:t>
      </w:r>
    </w:p>
    <w:p>
      <w:pPr>
        <w:pStyle w:val="0"/>
        <w:jc w:val="both"/>
      </w:pPr>
      <w:r>
        <w:rPr>
          <w:sz w:val="20"/>
        </w:rPr>
        <w:t xml:space="preserve">(п. 7 введен Федеральным </w:t>
      </w:r>
      <w:hyperlink w:history="0" r:id="rId8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3. Утратил силу. - Федеральный </w:t>
      </w:r>
      <w:hyperlink w:history="0" r:id="rId8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13. Ответственность за нарушение законодательства Российской Федерации в сфере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Нарушение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организациями, выполняющими работы и предоставляющими услуги по обеспечению безопасности объектов топливно-энергетического комплекса, иными организациями, а также гражданами требований законодательства Российской Федерации в сфере обеспечения безопасности объектов топливно-энергетического комплекса влечет за собой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8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14. Ответственность за причинение вреда в результате совершения акта незаконного вмешательства на объекте топливно-энергетического комплекса</w:t>
      </w:r>
    </w:p>
    <w:p>
      <w:pPr>
        <w:pStyle w:val="0"/>
        <w:ind w:firstLine="540"/>
        <w:jc w:val="both"/>
      </w:pPr>
      <w:r>
        <w:rPr>
          <w:sz w:val="20"/>
        </w:rPr>
      </w:r>
    </w:p>
    <w:p>
      <w:pPr>
        <w:pStyle w:val="0"/>
        <w:ind w:firstLine="540"/>
        <w:jc w:val="both"/>
      </w:pPr>
      <w:r>
        <w:rPr>
          <w:sz w:val="20"/>
        </w:rPr>
        <w:t xml:space="preserve">Гражданско-правовую ответственность за причинение вреда физическим и юридическим лицам, а также государству в результате совершения акта незаконного вмешательства на объекте топливно-энергетического комплекса несет субъект топливно-энергетического комплекса, владеющий на праве собственности или ином законном основании таким объектом,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84"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15. Страхование ответственности за причинение вреда в результате террористического акта на объекте топливно-энергетического комплекса</w:t>
      </w:r>
    </w:p>
    <w:p>
      <w:pPr>
        <w:pStyle w:val="0"/>
        <w:ind w:firstLine="540"/>
        <w:jc w:val="both"/>
      </w:pPr>
      <w:r>
        <w:rPr>
          <w:sz w:val="20"/>
        </w:rPr>
      </w:r>
    </w:p>
    <w:p>
      <w:pPr>
        <w:pStyle w:val="0"/>
        <w:ind w:firstLine="540"/>
        <w:jc w:val="both"/>
      </w:pPr>
      <w:r>
        <w:rPr>
          <w:sz w:val="20"/>
        </w:rPr>
        <w:t xml:space="preserve">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обязаны страховать ответственность за причинение вреда жизни, здоровью или имуществу третьих лиц в результате аварии на объекте топливно-энергетического комплекса, возникшей в связи с террористическим актом или диверсией.</w:t>
      </w:r>
    </w:p>
    <w:p>
      <w:pPr>
        <w:pStyle w:val="0"/>
        <w:jc w:val="both"/>
      </w:pPr>
      <w:r>
        <w:rPr>
          <w:sz w:val="20"/>
        </w:rPr>
        <w:t xml:space="preserve">(в ред. Федерального </w:t>
      </w:r>
      <w:hyperlink w:history="0" r:id="rId8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bookmarkStart w:id="243" w:name="P243"/>
    <w:bookmarkEnd w:id="243"/>
    <w:p>
      <w:pPr>
        <w:pStyle w:val="2"/>
        <w:outlineLvl w:val="1"/>
        <w:ind w:firstLine="540"/>
        <w:jc w:val="both"/>
      </w:pPr>
      <w:r>
        <w:rPr>
          <w:sz w:val="20"/>
        </w:rPr>
        <w:t xml:space="preserve">Статья 16. Финансирование мероприятий по обеспечению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Финансирование мероприятий по обеспечению безопасности объектов топливно-энергетического комплекса осуществляется за счет собственных средств организаций, цены на товары (услуги) которых подлежат государственному регулированию в составе регулируемых цен (тарифов), а также за счет иных субъектов топливно-энергетического комплекса.</w:t>
      </w:r>
    </w:p>
    <w:p>
      <w:pPr>
        <w:pStyle w:val="0"/>
        <w:spacing w:before="200" w:line-rule="auto"/>
        <w:ind w:firstLine="540"/>
        <w:jc w:val="both"/>
      </w:pPr>
      <w:r>
        <w:rPr>
          <w:sz w:val="20"/>
        </w:rPr>
        <w:t xml:space="preserve">2. Финансирование мероприятий по обеспечению безопасности объектов топливно-энергетического комплекса за счет иных источников средств осуществляется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17. Особенности обеспечения безопасности объектов системы газоснабжения, линейных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владеющие на праве собственности или ином законном основании объектами системы газоснабжения, и организации, эксплуатирующие такие объекты, кроме мер, предусмотренных настоящим Федеральным законом, обязаны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потенциальных чрезвычайных ситуаций на таких объектах.</w:t>
      </w:r>
    </w:p>
    <w:p>
      <w:pPr>
        <w:pStyle w:val="0"/>
        <w:jc w:val="both"/>
      </w:pPr>
      <w:r>
        <w:rPr>
          <w:sz w:val="20"/>
        </w:rPr>
        <w:t xml:space="preserve">(в ред. Федерального </w:t>
      </w:r>
      <w:hyperlink w:history="0" r:id="rId8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2. Субъект топливно-энергетического комплекса, владеющий на праве собственности или ином законном основании объектом системы газоснабжения, и организация, эксплуатирующая такой объект, обеспечивают его готовность к локализации и уменьшению последствий потенциальных чрезвычайных ситуаций, к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pPr>
        <w:pStyle w:val="0"/>
        <w:jc w:val="both"/>
      </w:pPr>
      <w:r>
        <w:rPr>
          <w:sz w:val="20"/>
        </w:rPr>
        <w:t xml:space="preserve">(в ред. Федерального </w:t>
      </w:r>
      <w:hyperlink w:history="0" r:id="rId8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3. Требования обеспечения безопасности и антитеррористической защищенности линейных объектов топливно-энергетического комплекса, которым присвоена категория опасности, устанавливаются Правительством Российской Федерации.</w:t>
      </w:r>
    </w:p>
    <w:p>
      <w:pPr>
        <w:pStyle w:val="0"/>
        <w:jc w:val="both"/>
      </w:pPr>
      <w:r>
        <w:rPr>
          <w:sz w:val="20"/>
        </w:rPr>
        <w:t xml:space="preserve">(часть 3 в ред. Федерального </w:t>
      </w:r>
      <w:hyperlink w:history="0" r:id="rId8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106" w:tooltip="Статья 7. Требования обеспечения безопасности и антитеррористической защищенности объектов топливно-энергетического комплекса">
        <w:r>
          <w:rPr>
            <w:sz w:val="20"/>
            <w:color w:val="0000ff"/>
          </w:rPr>
          <w:t xml:space="preserve">Статьи 7</w:t>
        </w:r>
      </w:hyperlink>
      <w:r>
        <w:rPr>
          <w:sz w:val="20"/>
        </w:rPr>
        <w:t xml:space="preserve">, </w:t>
      </w:r>
      <w:hyperlink w:history="0" w:anchor="P180" w:tooltip="Статья 10. Требования к персоналу, обеспечивающему безопасность объектов топливно-энергетического комплекса">
        <w:r>
          <w:rPr>
            <w:sz w:val="20"/>
            <w:color w:val="0000ff"/>
          </w:rPr>
          <w:t xml:space="preserve">10</w:t>
        </w:r>
      </w:hyperlink>
      <w:r>
        <w:rPr>
          <w:sz w:val="20"/>
        </w:rPr>
        <w:t xml:space="preserve">, </w:t>
      </w:r>
      <w:hyperlink w:history="0" w:anchor="P203" w:tooltip="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
        <w:r>
          <w:rPr>
            <w:sz w:val="20"/>
            <w:color w:val="0000ff"/>
          </w:rPr>
          <w:t xml:space="preserve">12</w:t>
        </w:r>
      </w:hyperlink>
      <w:r>
        <w:rPr>
          <w:sz w:val="20"/>
        </w:rPr>
        <w:t xml:space="preserve"> и </w:t>
      </w:r>
      <w:hyperlink w:history="0" w:anchor="P243" w:tooltip="Статья 16. Финансирование мероприятий по обеспечению безопасности объектов топливно-энергетического комплекса">
        <w:r>
          <w:rPr>
            <w:sz w:val="20"/>
            <w:color w:val="0000ff"/>
          </w:rPr>
          <w:t xml:space="preserve">16</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июля 2011 года</w:t>
      </w:r>
    </w:p>
    <w:p>
      <w:pPr>
        <w:pStyle w:val="0"/>
        <w:spacing w:before="200" w:line-rule="auto"/>
      </w:pPr>
      <w:r>
        <w:rPr>
          <w:sz w:val="20"/>
        </w:rPr>
        <w:t xml:space="preserve">N 256-ФЗ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"О безопасности объектов</w:t>
      </w:r>
    </w:p>
    <w:p>
      <w:pPr>
        <w:pStyle w:val="0"/>
        <w:jc w:val="right"/>
      </w:pPr>
      <w:r>
        <w:rPr>
          <w:sz w:val="20"/>
        </w:rPr>
        <w:t xml:space="preserve">топливно-энергетического комплекса"</w:t>
      </w:r>
    </w:p>
    <w:p>
      <w:pPr>
        <w:pStyle w:val="0"/>
        <w:jc w:val="both"/>
      </w:pPr>
      <w:r>
        <w:rPr>
          <w:sz w:val="20"/>
        </w:rPr>
      </w:r>
    </w:p>
    <w:p>
      <w:pPr>
        <w:pStyle w:val="0"/>
        <w:jc w:val="center"/>
      </w:pPr>
      <w:r>
        <w:rPr>
          <w:sz w:val="20"/>
        </w:rPr>
        <w:t xml:space="preserve">ПАСПОРТ</w:t>
      </w:r>
    </w:p>
    <w:p>
      <w:pPr>
        <w:pStyle w:val="0"/>
        <w:jc w:val="center"/>
      </w:pPr>
      <w:r>
        <w:rPr>
          <w:sz w:val="20"/>
        </w:rPr>
        <w:t xml:space="preserve">безопасности объекта топливно-энергетического комплекса</w:t>
      </w:r>
    </w:p>
    <w:p>
      <w:pPr>
        <w:pStyle w:val="0"/>
        <w:jc w:val="both"/>
      </w:pPr>
      <w:r>
        <w:rPr>
          <w:sz w:val="20"/>
        </w:rPr>
      </w:r>
    </w:p>
    <w:p>
      <w:pPr>
        <w:pStyle w:val="0"/>
        <w:ind w:firstLine="540"/>
        <w:jc w:val="both"/>
      </w:pPr>
      <w:r>
        <w:rPr>
          <w:sz w:val="20"/>
        </w:rPr>
        <w:t xml:space="preserve">Утратил силу. - Федеральный </w:t>
      </w:r>
      <w:hyperlink w:history="0" r:id="rId8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230-ФЗ.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21.07.2011 N 256-ФЗ</w:t>
            <w:br/>
            <w:t>(ред. от 25.12.2023)</w:t>
            <w:br/>
            <w:t>"О безопасности объектов топливно-энергетического комплекс...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474&amp;dst=100009" TargetMode = "External"/>
	<Relationship Id="rId8" Type="http://schemas.openxmlformats.org/officeDocument/2006/relationships/hyperlink" Target="https://login.consultant.ru/link/?req=doc&amp;base=LAW&amp;n=161937&amp;dst=100023" TargetMode = "External"/>
	<Relationship Id="rId9" Type="http://schemas.openxmlformats.org/officeDocument/2006/relationships/hyperlink" Target="https://login.consultant.ru/link/?req=doc&amp;base=LAW&amp;n=446159&amp;dst=100798" TargetMode = "External"/>
	<Relationship Id="rId10" Type="http://schemas.openxmlformats.org/officeDocument/2006/relationships/hyperlink" Target="https://login.consultant.ru/link/?req=doc&amp;base=LAW&amp;n=194881&amp;dst=100012" TargetMode = "External"/>
	<Relationship Id="rId11" Type="http://schemas.openxmlformats.org/officeDocument/2006/relationships/hyperlink" Target="https://login.consultant.ru/link/?req=doc&amp;base=LAW&amp;n=453993&amp;dst=100622" TargetMode = "External"/>
	<Relationship Id="rId12" Type="http://schemas.openxmlformats.org/officeDocument/2006/relationships/hyperlink" Target="https://login.consultant.ru/link/?req=doc&amp;base=LAW&amp;n=436421&amp;dst=100218" TargetMode = "External"/>
	<Relationship Id="rId13" Type="http://schemas.openxmlformats.org/officeDocument/2006/relationships/hyperlink" Target="https://login.consultant.ru/link/?req=doc&amp;base=LAW&amp;n=351153&amp;dst=100008" TargetMode = "External"/>
	<Relationship Id="rId14" Type="http://schemas.openxmlformats.org/officeDocument/2006/relationships/hyperlink" Target="https://login.consultant.ru/link/?req=doc&amp;base=LAW&amp;n=440513&amp;dst=103077" TargetMode = "External"/>
	<Relationship Id="rId15" Type="http://schemas.openxmlformats.org/officeDocument/2006/relationships/hyperlink" Target="https://login.consultant.ru/link/?req=doc&amp;base=LAW&amp;n=420373&amp;dst=100009" TargetMode = "External"/>
	<Relationship Id="rId16" Type="http://schemas.openxmlformats.org/officeDocument/2006/relationships/hyperlink" Target="https://login.consultant.ru/link/?req=doc&amp;base=LAW&amp;n=465592&amp;dst=100011" TargetMode = "External"/>
	<Relationship Id="rId17" Type="http://schemas.openxmlformats.org/officeDocument/2006/relationships/hyperlink" Target="https://login.consultant.ru/link/?req=doc&amp;base=LAW&amp;n=420373&amp;dst=100010" TargetMode = "External"/>
	<Relationship Id="rId18" Type="http://schemas.openxmlformats.org/officeDocument/2006/relationships/hyperlink" Target="https://login.consultant.ru/link/?req=doc&amp;base=LAW&amp;n=465592&amp;dst=100012" TargetMode = "External"/>
	<Relationship Id="rId19" Type="http://schemas.openxmlformats.org/officeDocument/2006/relationships/hyperlink" Target="https://login.consultant.ru/link/?req=doc&amp;base=LAW&amp;n=420373&amp;dst=100012" TargetMode = "External"/>
	<Relationship Id="rId20" Type="http://schemas.openxmlformats.org/officeDocument/2006/relationships/hyperlink" Target="https://login.consultant.ru/link/?req=doc&amp;base=LAW&amp;n=420373&amp;dst=100013" TargetMode = "External"/>
	<Relationship Id="rId21" Type="http://schemas.openxmlformats.org/officeDocument/2006/relationships/hyperlink" Target="https://login.consultant.ru/link/?req=doc&amp;base=LAW&amp;n=420373&amp;dst=100014" TargetMode = "External"/>
	<Relationship Id="rId22" Type="http://schemas.openxmlformats.org/officeDocument/2006/relationships/hyperlink" Target="https://login.consultant.ru/link/?req=doc&amp;base=LAW&amp;n=420373&amp;dst=100016" TargetMode = "External"/>
	<Relationship Id="rId23" Type="http://schemas.openxmlformats.org/officeDocument/2006/relationships/hyperlink" Target="https://login.consultant.ru/link/?req=doc&amp;base=LAW&amp;n=446159&amp;dst=100799" TargetMode = "External"/>
	<Relationship Id="rId24" Type="http://schemas.openxmlformats.org/officeDocument/2006/relationships/hyperlink" Target="https://login.consultant.ru/link/?req=doc&amp;base=LAW&amp;n=453993&amp;dst=100623" TargetMode = "External"/>
	<Relationship Id="rId25" Type="http://schemas.openxmlformats.org/officeDocument/2006/relationships/hyperlink" Target="https://login.consultant.ru/link/?req=doc&amp;base=LAW&amp;n=440513&amp;dst=103078" TargetMode = "External"/>
	<Relationship Id="rId26" Type="http://schemas.openxmlformats.org/officeDocument/2006/relationships/hyperlink" Target="https://login.consultant.ru/link/?req=doc&amp;base=LAW&amp;n=420373&amp;dst=100017" TargetMode = "External"/>
	<Relationship Id="rId27" Type="http://schemas.openxmlformats.org/officeDocument/2006/relationships/hyperlink" Target="https://login.consultant.ru/link/?req=doc&amp;base=LAW&amp;n=451847" TargetMode = "External"/>
	<Relationship Id="rId28" Type="http://schemas.openxmlformats.org/officeDocument/2006/relationships/hyperlink" Target="https://login.consultant.ru/link/?req=doc&amp;base=LAW&amp;n=194603&amp;dst=100016" TargetMode = "External"/>
	<Relationship Id="rId29" Type="http://schemas.openxmlformats.org/officeDocument/2006/relationships/hyperlink" Target="https://login.consultant.ru/link/?req=doc&amp;base=LAW&amp;n=420373&amp;dst=100029" TargetMode = "External"/>
	<Relationship Id="rId30" Type="http://schemas.openxmlformats.org/officeDocument/2006/relationships/hyperlink" Target="https://login.consultant.ru/link/?req=doc&amp;base=LAW&amp;n=443772" TargetMode = "External"/>
	<Relationship Id="rId31" Type="http://schemas.openxmlformats.org/officeDocument/2006/relationships/hyperlink" Target="https://login.consultant.ru/link/?req=doc&amp;base=LAW&amp;n=447038&amp;dst=100012" TargetMode = "External"/>
	<Relationship Id="rId32" Type="http://schemas.openxmlformats.org/officeDocument/2006/relationships/hyperlink" Target="https://login.consultant.ru/link/?req=doc&amp;base=LAW&amp;n=465592&amp;dst=100014" TargetMode = "External"/>
	<Relationship Id="rId33" Type="http://schemas.openxmlformats.org/officeDocument/2006/relationships/hyperlink" Target="https://login.consultant.ru/link/?req=doc&amp;base=LAW&amp;n=420373&amp;dst=100038" TargetMode = "External"/>
	<Relationship Id="rId34" Type="http://schemas.openxmlformats.org/officeDocument/2006/relationships/hyperlink" Target="https://login.consultant.ru/link/?req=doc&amp;base=LAW&amp;n=434461&amp;dst=100012" TargetMode = "External"/>
	<Relationship Id="rId35" Type="http://schemas.openxmlformats.org/officeDocument/2006/relationships/hyperlink" Target="https://login.consultant.ru/link/?req=doc&amp;base=LAW&amp;n=433521&amp;dst=100009" TargetMode = "External"/>
	<Relationship Id="rId36" Type="http://schemas.openxmlformats.org/officeDocument/2006/relationships/hyperlink" Target="https://login.consultant.ru/link/?req=doc&amp;base=LAW&amp;n=420373&amp;dst=100045" TargetMode = "External"/>
	<Relationship Id="rId37" Type="http://schemas.openxmlformats.org/officeDocument/2006/relationships/hyperlink" Target="https://login.consultant.ru/link/?req=doc&amp;base=LAW&amp;n=420373&amp;dst=100046" TargetMode = "External"/>
	<Relationship Id="rId38" Type="http://schemas.openxmlformats.org/officeDocument/2006/relationships/hyperlink" Target="https://login.consultant.ru/link/?req=doc&amp;base=LAW&amp;n=420373&amp;dst=100048" TargetMode = "External"/>
	<Relationship Id="rId39" Type="http://schemas.openxmlformats.org/officeDocument/2006/relationships/hyperlink" Target="https://login.consultant.ru/link/?req=doc&amp;base=LAW&amp;n=420373&amp;dst=100049" TargetMode = "External"/>
	<Relationship Id="rId40" Type="http://schemas.openxmlformats.org/officeDocument/2006/relationships/hyperlink" Target="https://login.consultant.ru/link/?req=doc&amp;base=LAW&amp;n=451847" TargetMode = "External"/>
	<Relationship Id="rId41" Type="http://schemas.openxmlformats.org/officeDocument/2006/relationships/hyperlink" Target="https://login.consultant.ru/link/?req=doc&amp;base=LAW&amp;n=420373&amp;dst=100050" TargetMode = "External"/>
	<Relationship Id="rId42" Type="http://schemas.openxmlformats.org/officeDocument/2006/relationships/hyperlink" Target="https://login.consultant.ru/link/?req=doc&amp;base=LAW&amp;n=204644&amp;dst=100008" TargetMode = "External"/>
	<Relationship Id="rId43" Type="http://schemas.openxmlformats.org/officeDocument/2006/relationships/hyperlink" Target="https://login.consultant.ru/link/?req=doc&amp;base=LAW&amp;n=420373&amp;dst=100052" TargetMode = "External"/>
	<Relationship Id="rId44" Type="http://schemas.openxmlformats.org/officeDocument/2006/relationships/hyperlink" Target="https://login.consultant.ru/link/?req=doc&amp;base=LAW&amp;n=420373&amp;dst=100054" TargetMode = "External"/>
	<Relationship Id="rId45" Type="http://schemas.openxmlformats.org/officeDocument/2006/relationships/hyperlink" Target="https://login.consultant.ru/link/?req=doc&amp;base=LAW&amp;n=420373&amp;dst=100057" TargetMode = "External"/>
	<Relationship Id="rId46" Type="http://schemas.openxmlformats.org/officeDocument/2006/relationships/hyperlink" Target="https://login.consultant.ru/link/?req=doc&amp;base=LAW&amp;n=420373&amp;dst=100058" TargetMode = "External"/>
	<Relationship Id="rId47" Type="http://schemas.openxmlformats.org/officeDocument/2006/relationships/hyperlink" Target="https://login.consultant.ru/link/?req=doc&amp;base=LAW&amp;n=433858&amp;dst=100009" TargetMode = "External"/>
	<Relationship Id="rId48" Type="http://schemas.openxmlformats.org/officeDocument/2006/relationships/hyperlink" Target="https://login.consultant.ru/link/?req=doc&amp;base=LAW&amp;n=433858&amp;dst=100009" TargetMode = "External"/>
	<Relationship Id="rId49" Type="http://schemas.openxmlformats.org/officeDocument/2006/relationships/hyperlink" Target="https://login.consultant.ru/link/?req=doc&amp;base=LAW&amp;n=420373&amp;dst=100059" TargetMode = "External"/>
	<Relationship Id="rId50" Type="http://schemas.openxmlformats.org/officeDocument/2006/relationships/hyperlink" Target="https://login.consultant.ru/link/?req=doc&amp;base=LAW&amp;n=223553" TargetMode = "External"/>
	<Relationship Id="rId51" Type="http://schemas.openxmlformats.org/officeDocument/2006/relationships/hyperlink" Target="https://login.consultant.ru/link/?req=doc&amp;base=LAW&amp;n=436421&amp;dst=100218" TargetMode = "External"/>
	<Relationship Id="rId52" Type="http://schemas.openxmlformats.org/officeDocument/2006/relationships/hyperlink" Target="https://login.consultant.ru/link/?req=doc&amp;base=LAW&amp;n=420373&amp;dst=100064" TargetMode = "External"/>
	<Relationship Id="rId53" Type="http://schemas.openxmlformats.org/officeDocument/2006/relationships/hyperlink" Target="https://login.consultant.ru/link/?req=doc&amp;base=LAW&amp;n=365007&amp;dst=100006" TargetMode = "External"/>
	<Relationship Id="rId54" Type="http://schemas.openxmlformats.org/officeDocument/2006/relationships/hyperlink" Target="https://login.consultant.ru/link/?req=doc&amp;base=LAW&amp;n=460182&amp;dst=100009" TargetMode = "External"/>
	<Relationship Id="rId55" Type="http://schemas.openxmlformats.org/officeDocument/2006/relationships/hyperlink" Target="https://login.consultant.ru/link/?req=doc&amp;base=LAW&amp;n=351153&amp;dst=100012" TargetMode = "External"/>
	<Relationship Id="rId56" Type="http://schemas.openxmlformats.org/officeDocument/2006/relationships/hyperlink" Target="https://login.consultant.ru/link/?req=doc&amp;base=LAW&amp;n=161937&amp;dst=100023" TargetMode = "External"/>
	<Relationship Id="rId57" Type="http://schemas.openxmlformats.org/officeDocument/2006/relationships/hyperlink" Target="https://login.consultant.ru/link/?req=doc&amp;base=LAW&amp;n=420373&amp;dst=100065" TargetMode = "External"/>
	<Relationship Id="rId58" Type="http://schemas.openxmlformats.org/officeDocument/2006/relationships/hyperlink" Target="https://login.consultant.ru/link/?req=doc&amp;base=LAW&amp;n=428077&amp;dst=100008" TargetMode = "External"/>
	<Relationship Id="rId59" Type="http://schemas.openxmlformats.org/officeDocument/2006/relationships/hyperlink" Target="https://login.consultant.ru/link/?req=doc&amp;base=LAW&amp;n=428077&amp;dst=100031" TargetMode = "External"/>
	<Relationship Id="rId60" Type="http://schemas.openxmlformats.org/officeDocument/2006/relationships/hyperlink" Target="https://login.consultant.ru/link/?req=doc&amp;base=LAW&amp;n=465790" TargetMode = "External"/>
	<Relationship Id="rId61" Type="http://schemas.openxmlformats.org/officeDocument/2006/relationships/hyperlink" Target="https://login.consultant.ru/link/?req=doc&amp;base=LAW&amp;n=420373&amp;dst=100086" TargetMode = "External"/>
	<Relationship Id="rId62" Type="http://schemas.openxmlformats.org/officeDocument/2006/relationships/hyperlink" Target="https://login.consultant.ru/link/?req=doc&amp;base=LAW&amp;n=420373&amp;dst=100088" TargetMode = "External"/>
	<Relationship Id="rId63" Type="http://schemas.openxmlformats.org/officeDocument/2006/relationships/hyperlink" Target="https://login.consultant.ru/link/?req=doc&amp;base=LAW&amp;n=420373&amp;dst=100090" TargetMode = "External"/>
	<Relationship Id="rId64" Type="http://schemas.openxmlformats.org/officeDocument/2006/relationships/hyperlink" Target="https://login.consultant.ru/link/?req=doc&amp;base=LAW&amp;n=125336&amp;dst=100010" TargetMode = "External"/>
	<Relationship Id="rId65" Type="http://schemas.openxmlformats.org/officeDocument/2006/relationships/hyperlink" Target="https://login.consultant.ru/link/?req=doc&amp;base=LAW&amp;n=453993&amp;dst=100628" TargetMode = "External"/>
	<Relationship Id="rId66" Type="http://schemas.openxmlformats.org/officeDocument/2006/relationships/hyperlink" Target="https://login.consultant.ru/link/?req=doc&amp;base=LAW&amp;n=420373&amp;dst=100091" TargetMode = "External"/>
	<Relationship Id="rId67" Type="http://schemas.openxmlformats.org/officeDocument/2006/relationships/hyperlink" Target="https://login.consultant.ru/link/?req=doc&amp;base=LAW&amp;n=431012&amp;dst=100010" TargetMode = "External"/>
	<Relationship Id="rId68" Type="http://schemas.openxmlformats.org/officeDocument/2006/relationships/hyperlink" Target="https://login.consultant.ru/link/?req=doc&amp;base=LAW&amp;n=420373&amp;dst=100092" TargetMode = "External"/>
	<Relationship Id="rId69" Type="http://schemas.openxmlformats.org/officeDocument/2006/relationships/hyperlink" Target="https://login.consultant.ru/link/?req=doc&amp;base=LAW&amp;n=431012&amp;dst=100025" TargetMode = "External"/>
	<Relationship Id="rId70" Type="http://schemas.openxmlformats.org/officeDocument/2006/relationships/hyperlink" Target="https://login.consultant.ru/link/?req=doc&amp;base=LAW&amp;n=420373&amp;dst=100094" TargetMode = "External"/>
	<Relationship Id="rId71" Type="http://schemas.openxmlformats.org/officeDocument/2006/relationships/hyperlink" Target="https://login.consultant.ru/link/?req=doc&amp;base=LAW&amp;n=446159&amp;dst=100803" TargetMode = "External"/>
	<Relationship Id="rId72" Type="http://schemas.openxmlformats.org/officeDocument/2006/relationships/hyperlink" Target="https://login.consultant.ru/link/?req=doc&amp;base=LAW&amp;n=453993&amp;dst=100629" TargetMode = "External"/>
	<Relationship Id="rId73" Type="http://schemas.openxmlformats.org/officeDocument/2006/relationships/hyperlink" Target="https://login.consultant.ru/link/?req=doc&amp;base=LAW&amp;n=420373&amp;dst=100096" TargetMode = "External"/>
	<Relationship Id="rId74" Type="http://schemas.openxmlformats.org/officeDocument/2006/relationships/hyperlink" Target="https://login.consultant.ru/link/?req=doc&amp;base=LAW&amp;n=420373&amp;dst=100098" TargetMode = "External"/>
	<Relationship Id="rId75" Type="http://schemas.openxmlformats.org/officeDocument/2006/relationships/hyperlink" Target="https://login.consultant.ru/link/?req=doc&amp;base=LAW&amp;n=221923&amp;dst=100008" TargetMode = "External"/>
	<Relationship Id="rId76" Type="http://schemas.openxmlformats.org/officeDocument/2006/relationships/hyperlink" Target="https://login.consultant.ru/link/?req=doc&amp;base=LAW&amp;n=148474&amp;dst=100010" TargetMode = "External"/>
	<Relationship Id="rId77" Type="http://schemas.openxmlformats.org/officeDocument/2006/relationships/hyperlink" Target="https://login.consultant.ru/link/?req=doc&amp;base=LAW&amp;n=446159&amp;dst=100804" TargetMode = "External"/>
	<Relationship Id="rId78" Type="http://schemas.openxmlformats.org/officeDocument/2006/relationships/hyperlink" Target="https://login.consultant.ru/link/?req=doc&amp;base=LAW&amp;n=420373&amp;dst=100099" TargetMode = "External"/>
	<Relationship Id="rId79" Type="http://schemas.openxmlformats.org/officeDocument/2006/relationships/hyperlink" Target="https://login.consultant.ru/link/?req=doc&amp;base=LAW&amp;n=420373&amp;dst=100100" TargetMode = "External"/>
	<Relationship Id="rId80" Type="http://schemas.openxmlformats.org/officeDocument/2006/relationships/hyperlink" Target="https://login.consultant.ru/link/?req=doc&amp;base=LAW&amp;n=420373&amp;dst=100101" TargetMode = "External"/>
	<Relationship Id="rId81" Type="http://schemas.openxmlformats.org/officeDocument/2006/relationships/hyperlink" Target="https://login.consultant.ru/link/?req=doc&amp;base=LAW&amp;n=420373&amp;dst=100103" TargetMode = "External"/>
	<Relationship Id="rId82" Type="http://schemas.openxmlformats.org/officeDocument/2006/relationships/hyperlink" Target="https://login.consultant.ru/link/?req=doc&amp;base=LAW&amp;n=420373&amp;dst=100104" TargetMode = "External"/>
	<Relationship Id="rId83" Type="http://schemas.openxmlformats.org/officeDocument/2006/relationships/hyperlink" Target="https://login.consultant.ru/link/?req=doc&amp;base=LAW&amp;n=420373&amp;dst=100105" TargetMode = "External"/>
	<Relationship Id="rId84" Type="http://schemas.openxmlformats.org/officeDocument/2006/relationships/hyperlink" Target="https://login.consultant.ru/link/?req=doc&amp;base=LAW&amp;n=420373&amp;dst=100106" TargetMode = "External"/>
	<Relationship Id="rId85" Type="http://schemas.openxmlformats.org/officeDocument/2006/relationships/hyperlink" Target="https://login.consultant.ru/link/?req=doc&amp;base=LAW&amp;n=420373&amp;dst=100107" TargetMode = "External"/>
	<Relationship Id="rId86" Type="http://schemas.openxmlformats.org/officeDocument/2006/relationships/hyperlink" Target="https://login.consultant.ru/link/?req=doc&amp;base=LAW&amp;n=420373&amp;dst=100109" TargetMode = "External"/>
	<Relationship Id="rId87" Type="http://schemas.openxmlformats.org/officeDocument/2006/relationships/hyperlink" Target="https://login.consultant.ru/link/?req=doc&amp;base=LAW&amp;n=420373&amp;dst=100110" TargetMode = "External"/>
	<Relationship Id="rId88" Type="http://schemas.openxmlformats.org/officeDocument/2006/relationships/hyperlink" Target="https://login.consultant.ru/link/?req=doc&amp;base=LAW&amp;n=420373&amp;dst=100111" TargetMode = "External"/>
	<Relationship Id="rId89" Type="http://schemas.openxmlformats.org/officeDocument/2006/relationships/hyperlink" Target="https://login.consultant.ru/link/?req=doc&amp;base=LAW&amp;n=420373&amp;dst=1001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21.07.2011 N 256-ФЗ
(ред. от 25.12.2023)
"О безопасности объектов топливно-энергетического комплекса"</dc:title>
  <dcterms:created xsi:type="dcterms:W3CDTF">2024-02-06T06:44:07Z</dcterms:created>
</cp:coreProperties>
</file>